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塔城市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年1-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月经济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要情</w:t>
      </w:r>
    </w:p>
    <w:p>
      <w:pPr>
        <w:pStyle w:val="2"/>
        <w:rPr>
          <w:rFonts w:hint="eastAsia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一、固定资产投资。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全市固定资产投资完成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32.77亿元，同比增长21.9%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二、工业经济。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规模以上工业完成工业增加值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同比增长85.6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社会消费品零售总额。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全市限额以上实现社会消费品零售总额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4.21亿元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%。</w:t>
      </w:r>
    </w:p>
    <w:p>
      <w:pPr>
        <w:ind w:firstLine="643" w:firstLineChars="200"/>
        <w:rPr>
          <w:rFonts w:hint="eastAsia" w:ascii="仿宋_GB2312" w:hAnsi="仿宋_GB2312" w:eastAsia="楷体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贸进出口。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</w:rPr>
        <w:t>1-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</w:rPr>
        <w:t>月，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进出口总额实现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65607.83万美元，同比下降19.04%。其中：进口额4620.12万美元（含边民互市进口额4259.41万美元），同比增长1753.29%；出口额60987.71万美元，同比下降24.57%。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五、招商工作。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1-10月，全市招商到位53.82亿元,同比增长69.83%。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六、旅游业。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累计接待国内游客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449.19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sz w:val="32"/>
          <w:szCs w:val="32"/>
        </w:rPr>
        <w:t>.66%；实现旅游收入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22.19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亿元,同比增长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113.79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七、财政收支。</w:t>
      </w: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4.37亿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74.09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24.6亿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9.45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八、金融市场。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-10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月，全市金融机构存款余额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266.24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下降1.44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%；贷款余额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193.9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bookmarkStart w:id="0" w:name="_GoBack"/>
      <w:bookmarkEnd w:id="0"/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12.22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C8E"/>
    <w:rsid w:val="007C1524"/>
    <w:rsid w:val="1903775E"/>
    <w:rsid w:val="1D1F4A7E"/>
    <w:rsid w:val="2B952EE7"/>
    <w:rsid w:val="3A6C759E"/>
    <w:rsid w:val="47807C8E"/>
    <w:rsid w:val="523D48B3"/>
    <w:rsid w:val="7DC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szCs w:val="20"/>
      <w:lang w:eastAsia="en-US"/>
    </w:rPr>
  </w:style>
  <w:style w:type="paragraph" w:styleId="4">
    <w:name w:val="List"/>
    <w:basedOn w:val="1"/>
    <w:qFormat/>
    <w:uiPriority w:val="0"/>
    <w:pPr>
      <w:ind w:left="200" w:hanging="200" w:hanging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2023-10-14T11:31:00Z</dcterms:created>
  <dc:creator>Administrator</dc:creator>
  <cp:lastModifiedBy>Administrator</cp:lastModifiedBy>
  <dcterms:modified xsi:type="dcterms:W3CDTF">2023-12-07T03:29:23Z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