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855" w:firstLineChars="1200"/>
        <w:jc w:val="right"/>
        <w:rPr>
          <w:rFonts w:hint="eastAsia" w:ascii="楷体_GB2312" w:hAnsi="楷体_GB2312" w:eastAsia="楷体_GB2312" w:cs="楷体_GB2312"/>
          <w:b/>
          <w:bCs w:val="0"/>
          <w:kern w:val="1"/>
          <w:sz w:val="36"/>
          <w:szCs w:val="36"/>
          <w:highlight w:val="yellow"/>
          <w:lang w:eastAsia="zh-CN"/>
        </w:rPr>
      </w:pPr>
      <w:r>
        <w:rPr>
          <w:rFonts w:hint="eastAsia" w:ascii="楷体_GB2312" w:hAnsi="楷体_GB2312" w:eastAsia="楷体_GB2312" w:cs="楷体_GB2312"/>
          <w:b/>
          <w:bCs w:val="0"/>
          <w:kern w:val="1"/>
          <w:sz w:val="32"/>
          <w:szCs w:val="32"/>
        </w:rPr>
        <w:t>项目库编号：</w:t>
      </w:r>
      <w:r>
        <w:rPr>
          <w:rFonts w:hint="eastAsia" w:ascii="楷体_GB2312" w:hAnsi="楷体_GB2312" w:eastAsia="楷体_GB2312" w:cs="楷体_GB2312"/>
          <w:b/>
          <w:bCs w:val="0"/>
          <w:kern w:val="1"/>
          <w:sz w:val="32"/>
          <w:szCs w:val="32"/>
          <w:lang w:eastAsia="zh-CN"/>
        </w:rPr>
        <w:t>tc2024236</w:t>
      </w:r>
    </w:p>
    <w:p>
      <w:pPr>
        <w:spacing w:line="240" w:lineRule="auto"/>
        <w:ind w:left="1760" w:hanging="1760" w:hangingChars="400"/>
        <w:jc w:val="both"/>
        <w:rPr>
          <w:rFonts w:hint="eastAsia" w:ascii="方正小标宋简体" w:eastAsia="方正小标宋简体"/>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r>
        <w:rPr>
          <w:rFonts w:hint="eastAsia" w:ascii="方正小标宋简体" w:eastAsia="方正小标宋简体"/>
          <w:sz w:val="48"/>
          <w:szCs w:val="48"/>
          <w:lang w:eastAsia="zh-CN"/>
        </w:rPr>
        <w:t>塔城市二工镇五个社区暖圈建设项目</w:t>
      </w:r>
    </w:p>
    <w:p>
      <w:pPr>
        <w:rPr>
          <w:rFonts w:hint="eastAsia"/>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96"/>
          <w:szCs w:val="96"/>
          <w:lang w:eastAsia="zh-CN"/>
        </w:rPr>
      </w:pPr>
      <w:r>
        <w:rPr>
          <w:rFonts w:hint="eastAsia" w:ascii="方正小标宋简体" w:eastAsia="方正小标宋简体"/>
          <w:sz w:val="96"/>
          <w:szCs w:val="96"/>
          <w:lang w:eastAsia="zh-CN"/>
        </w:rPr>
        <w:t>实</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施</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方</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案</w:t>
      </w:r>
    </w:p>
    <w:p>
      <w:pPr>
        <w:rPr>
          <w:rFonts w:ascii="方正小标宋简体" w:eastAsia="方正小标宋简体"/>
          <w:sz w:val="44"/>
          <w:szCs w:val="44"/>
        </w:rPr>
      </w:pPr>
    </w:p>
    <w:p>
      <w:pP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p>
    <w:p>
      <w:pPr>
        <w:rPr>
          <w:rFonts w:ascii="方正小标宋简体" w:eastAsia="方正小标宋简体"/>
          <w:sz w:val="44"/>
          <w:szCs w:val="44"/>
        </w:rPr>
      </w:pPr>
    </w:p>
    <w:p>
      <w:pPr>
        <w:rPr>
          <w:rFonts w:ascii="方正小标宋简体" w:eastAsia="方正小标宋简体"/>
          <w:sz w:val="44"/>
          <w:szCs w:val="44"/>
        </w:rPr>
      </w:pPr>
    </w:p>
    <w:p>
      <w:pPr>
        <w:pStyle w:val="7"/>
      </w:pPr>
    </w:p>
    <w:p>
      <w:pPr>
        <w:spacing w:line="560" w:lineRule="exact"/>
        <w:rPr>
          <w:rFonts w:hint="eastAsia" w:ascii="方正黑体简体" w:hAnsi="方正黑体简体" w:eastAsia="方正黑体简体"/>
          <w:sz w:val="32"/>
          <w:szCs w:val="32"/>
        </w:rPr>
      </w:pPr>
    </w:p>
    <w:p>
      <w:pPr>
        <w:rPr>
          <w:rFonts w:hint="eastAsia"/>
        </w:rPr>
      </w:pPr>
    </w:p>
    <w:p>
      <w:pPr>
        <w:pStyle w:val="9"/>
        <w:rPr>
          <w:rFonts w:hint="eastAsia"/>
        </w:rPr>
      </w:pPr>
    </w:p>
    <w:p>
      <w:pPr>
        <w:spacing w:line="560" w:lineRule="exact"/>
        <w:rPr>
          <w:rFonts w:hint="eastAsia" w:ascii="方正黑体简体" w:hAnsi="方正黑体简体" w:eastAsia="方正黑体简体"/>
          <w:sz w:val="32"/>
          <w:szCs w:val="32"/>
        </w:rPr>
      </w:pPr>
    </w:p>
    <w:p>
      <w:pPr>
        <w:pStyle w:val="9"/>
        <w:rPr>
          <w:rFonts w:hint="eastAsia" w:ascii="方正黑体简体" w:hAnsi="方正黑体简体" w:eastAsia="方正黑体简体"/>
          <w:sz w:val="32"/>
          <w:szCs w:val="32"/>
        </w:rPr>
      </w:pPr>
    </w:p>
    <w:p>
      <w:pPr>
        <w:rPr>
          <w:rFonts w:hint="eastAsia"/>
        </w:rPr>
      </w:pP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项目名称：</w:t>
      </w:r>
      <w:r>
        <w:rPr>
          <w:rFonts w:hint="eastAsia" w:ascii="楷体_GB2312" w:hAnsi="楷体_GB2312" w:eastAsia="楷体_GB2312" w:cs="楷体_GB2312"/>
          <w:b/>
          <w:bCs/>
          <w:sz w:val="32"/>
          <w:szCs w:val="32"/>
          <w:lang w:eastAsia="zh-CN"/>
        </w:rPr>
        <w:t>塔城市二工镇五个社区暖圈建设项目</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项目主管单位：</w:t>
      </w:r>
      <w:r>
        <w:rPr>
          <w:rFonts w:hint="eastAsia" w:ascii="楷体_GB2312" w:hAnsi="楷体_GB2312" w:eastAsia="楷体_GB2312" w:cs="楷体_GB2312"/>
          <w:b/>
          <w:bCs/>
          <w:sz w:val="32"/>
          <w:szCs w:val="32"/>
          <w:lang w:eastAsia="zh-CN"/>
        </w:rPr>
        <w:t>塔城市乡村振兴局</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项目实施单位：</w:t>
      </w:r>
      <w:r>
        <w:rPr>
          <w:rFonts w:hint="eastAsia" w:ascii="楷体_GB2312" w:hAnsi="楷体_GB2312" w:eastAsia="楷体_GB2312" w:cs="楷体_GB2312"/>
          <w:b/>
          <w:bCs/>
          <w:sz w:val="32"/>
          <w:szCs w:val="32"/>
          <w:lang w:eastAsia="zh-CN"/>
        </w:rPr>
        <w:t>塔城市</w:t>
      </w:r>
      <w:r>
        <w:rPr>
          <w:rFonts w:hint="eastAsia" w:ascii="楷体_GB2312" w:hAnsi="楷体_GB2312" w:eastAsia="楷体_GB2312" w:cs="楷体_GB2312"/>
          <w:b/>
          <w:bCs/>
          <w:sz w:val="32"/>
          <w:szCs w:val="32"/>
          <w:lang w:val="en-US" w:eastAsia="zh-CN"/>
        </w:rPr>
        <w:t>二工镇人民政府</w:t>
      </w:r>
    </w:p>
    <w:p>
      <w:pPr>
        <w:spacing w:line="560" w:lineRule="exact"/>
        <w:ind w:firstLine="643" w:firstLineChars="200"/>
        <w:rPr>
          <w:rFonts w:hint="eastAsia" w:ascii="楷体_GB2312" w:hAnsi="楷体_GB2312" w:eastAsia="楷体_GB2312" w:cs="楷体_GB2312"/>
          <w:b/>
          <w:bCs/>
          <w:sz w:val="32"/>
          <w:szCs w:val="32"/>
          <w:lang w:val="en-US" w:eastAsia="zh-CN"/>
        </w:rPr>
        <w:sectPr>
          <w:headerReference r:id="rId3" w:type="default"/>
          <w:pgSz w:w="11900" w:h="16838"/>
          <w:pgMar w:top="1440" w:right="1797" w:bottom="1440" w:left="1797" w:header="850" w:footer="992" w:gutter="0"/>
          <w:pgNumType w:fmt="decimal"/>
          <w:cols w:space="0" w:num="1"/>
          <w:rtlGutter w:val="0"/>
          <w:docGrid w:linePitch="286" w:charSpace="0"/>
        </w:sectPr>
      </w:pPr>
      <w:r>
        <w:rPr>
          <w:rFonts w:hint="eastAsia" w:ascii="楷体_GB2312" w:hAnsi="楷体_GB2312" w:eastAsia="楷体_GB2312" w:cs="楷体_GB2312"/>
          <w:b/>
          <w:bCs/>
          <w:sz w:val="32"/>
          <w:szCs w:val="32"/>
        </w:rPr>
        <w:t>编制时间：</w:t>
      </w:r>
      <w:r>
        <w:rPr>
          <w:rFonts w:hint="eastAsia" w:ascii="楷体_GB2312" w:hAnsi="楷体_GB2312" w:eastAsia="楷体_GB2312" w:cs="楷体_GB2312"/>
          <w:b/>
          <w:bCs/>
          <w:sz w:val="32"/>
          <w:szCs w:val="32"/>
          <w:lang w:val="en-US" w:eastAsia="zh-CN"/>
        </w:rPr>
        <w:t>2023年12月</w:t>
      </w:r>
    </w:p>
    <w:p>
      <w:pPr>
        <w:jc w:val="center"/>
        <w:rPr>
          <w:rFonts w:hint="eastAsia" w:ascii="仿宋" w:hAnsi="仿宋" w:eastAsia="仿宋" w:cs="仿宋"/>
          <w:b/>
          <w:bCs/>
          <w:sz w:val="30"/>
          <w:szCs w:val="30"/>
          <w:lang w:eastAsia="zh-CN"/>
        </w:rPr>
      </w:pPr>
      <w:bookmarkStart w:id="0" w:name="_Toc11267"/>
      <w:r>
        <w:rPr>
          <w:rFonts w:hint="eastAsia" w:ascii="仿宋" w:hAnsi="仿宋" w:eastAsia="仿宋" w:cs="仿宋"/>
          <w:b/>
          <w:bCs/>
          <w:sz w:val="32"/>
          <w:szCs w:val="32"/>
          <w:lang w:eastAsia="zh-CN"/>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录</w:t>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fldChar w:fldCharType="begin"/>
      </w:r>
      <w:r>
        <w:rPr>
          <w:rFonts w:hint="eastAsia" w:ascii="仿宋_GB2312" w:hAnsi="仿宋_GB2312" w:eastAsia="仿宋_GB2312" w:cs="仿宋_GB2312"/>
          <w:b/>
          <w:bCs/>
          <w:sz w:val="28"/>
          <w:szCs w:val="28"/>
          <w:lang w:eastAsia="zh-CN"/>
        </w:rPr>
        <w:instrText xml:space="preserve">TOC \o "1-2" \h \u </w:instrText>
      </w:r>
      <w:r>
        <w:rPr>
          <w:rFonts w:hint="eastAsia" w:ascii="仿宋_GB2312" w:hAnsi="仿宋_GB2312" w:eastAsia="仿宋_GB2312" w:cs="仿宋_GB2312"/>
          <w:b/>
          <w:bCs/>
          <w:sz w:val="28"/>
          <w:szCs w:val="28"/>
          <w:lang w:eastAsia="zh-CN"/>
        </w:rPr>
        <w:fldChar w:fldCharType="separate"/>
      </w: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_Toc28389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_Toc10315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1.1项目库编号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_Toc10315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_Toc31397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1.2项目名称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_Toc31397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_Toc25698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1.3项目主管单位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_Toc25698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_Toc12155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1.4项目实施单位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_Toc12155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_Toc30004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1.5项目建设性质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_Toc12081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1.6项目类别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_Toc7981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1.7 项目建设内容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_Toc7981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_Toc30477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1.8项目资金筹措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_Toc30477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_Toc13032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1.9项目建设期限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_Toc17432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1.10项目建设地点及基本情况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_Toc17432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_Toc21682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2.项目立项情况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_Toc24342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2.1项目建设依据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_Toc24342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_Toc12615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2.2建设内容及规模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_Toc12615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_Toc13514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2.3项目建设的必要性和可行性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_Toc13514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_Toc4460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 xml:space="preserve">2.4 </w:t>
      </w:r>
      <w:r>
        <w:rPr>
          <w:rFonts w:hint="eastAsia" w:ascii="仿宋_GB2312" w:hAnsi="仿宋_GB2312" w:eastAsia="仿宋_GB2312" w:cs="仿宋_GB2312"/>
          <w:bCs/>
          <w:sz w:val="28"/>
          <w:szCs w:val="28"/>
        </w:rPr>
        <w:t>综合条件评价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_Toc2890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3.设计或技术方案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_Toc4206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3.1项目设计（技术依据）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_Toc18362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3.2建设内容、规模、标准、投资设计等明细资料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_Toc29785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4.投资概算和资金筹措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_Toc29785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_Toc17126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4.1项目总投资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_Toc13874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2项目概算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_Toc27363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_Toc27363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_Toc24259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资金使用和管理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_Toc21556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4.5资产移交要求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_Toc21556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_Toc11231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4.6资金筹措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_Toc11231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_Toc15192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5.项目实施保障措施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_Toc20015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5.1组织领导机构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_Toc976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5.3项目管理、监督检查制度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_Toc17072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5.4验收管理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_Toc10298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5.5</w:t>
      </w:r>
      <w:r>
        <w:rPr>
          <w:rFonts w:hint="eastAsia" w:ascii="仿宋_GB2312" w:hAnsi="仿宋_GB2312" w:eastAsia="仿宋_GB2312" w:cs="仿宋_GB2312"/>
          <w:bCs/>
          <w:sz w:val="28"/>
          <w:szCs w:val="28"/>
          <w:lang w:val="en-US" w:eastAsia="zh-CN"/>
        </w:rPr>
        <w:t>管护机制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_Toc3274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5.6利益连接机制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_Toc27775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6.项目实施进度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_Toc27775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_Toc32356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6.1项目实施进度计划及安排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_Toc32356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_Toc27164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6.2招标方案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_Toc27164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_Toc25961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6.3项目公告公示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_Toc25961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_Toc4116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7.项目绩效目标及效益分析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_Toc4116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_Toc29330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7.1年度目标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_Toc15114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7.2经济效益</w:t>
      </w:r>
      <w:r>
        <w:rPr>
          <w:rFonts w:hint="eastAsia" w:ascii="仿宋_GB2312" w:hAnsi="仿宋_GB2312" w:eastAsia="仿宋_GB2312" w:cs="仿宋_GB2312"/>
          <w:bCs/>
          <w:sz w:val="28"/>
          <w:szCs w:val="28"/>
          <w:lang w:val="en-US" w:eastAsia="zh-CN"/>
        </w:rPr>
        <w:t>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_Toc2937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7.3社会效益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_Toc28564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可持续性影响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_Toc28564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_Toc2621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8.风险分析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_Toc20426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8.1</w:t>
      </w:r>
      <w:r>
        <w:rPr>
          <w:rFonts w:hint="eastAsia" w:ascii="仿宋_GB2312" w:hAnsi="仿宋_GB2312" w:eastAsia="仿宋_GB2312" w:cs="仿宋_GB2312"/>
          <w:bCs/>
          <w:sz w:val="28"/>
          <w:szCs w:val="28"/>
        </w:rPr>
        <w:t>影响项目风险因素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_Toc20426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_Toc16185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8.2</w:t>
      </w:r>
      <w:r>
        <w:rPr>
          <w:rFonts w:hint="eastAsia" w:ascii="仿宋_GB2312" w:hAnsi="仿宋_GB2312" w:eastAsia="仿宋_GB2312" w:cs="仿宋_GB2312"/>
          <w:bCs/>
          <w:sz w:val="28"/>
          <w:szCs w:val="28"/>
        </w:rPr>
        <w:t>风险防控措施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_Toc16185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_Toc28312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9.结论与建议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_Toc28072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sz w:val="28"/>
          <w:szCs w:val="28"/>
          <w:lang w:val="en-US" w:eastAsia="zh-CN"/>
        </w:rPr>
        <w:t>9.1结论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_Toc30305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_Toc30305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rPr>
          <w:rFonts w:hint="eastAsia" w:ascii="仿宋" w:hAnsi="仿宋" w:eastAsia="仿宋" w:cs="仿宋"/>
          <w:b/>
          <w:bCs/>
          <w:sz w:val="30"/>
          <w:szCs w:val="30"/>
          <w:lang w:eastAsia="zh-CN"/>
        </w:rPr>
      </w:pPr>
      <w:r>
        <w:rPr>
          <w:rFonts w:hint="eastAsia" w:ascii="仿宋_GB2312" w:hAnsi="仿宋_GB2312" w:eastAsia="仿宋_GB2312" w:cs="仿宋_GB2312"/>
          <w:bCs/>
          <w:szCs w:val="28"/>
          <w:lang w:eastAsia="zh-CN"/>
        </w:rPr>
        <w:fldChar w:fldCharType="end"/>
      </w:r>
    </w:p>
    <w:p>
      <w:pPr>
        <w:pStyle w:val="25"/>
        <w:spacing w:line="500" w:lineRule="exact"/>
        <w:ind w:firstLine="0" w:firstLineChars="0"/>
        <w:outlineLvl w:val="0"/>
        <w:rPr>
          <w:rFonts w:hint="eastAsia" w:ascii="仿宋" w:hAnsi="仿宋" w:eastAsia="仿宋" w:cs="仿宋"/>
          <w:b/>
          <w:bCs/>
          <w:sz w:val="30"/>
          <w:szCs w:val="30"/>
        </w:rPr>
        <w:sectPr>
          <w:footerReference r:id="rId4" w:type="default"/>
          <w:pgSz w:w="11900" w:h="16838"/>
          <w:pgMar w:top="1440" w:right="1797" w:bottom="1440" w:left="1797" w:header="850" w:footer="992" w:gutter="0"/>
          <w:pgNumType w:fmt="decimal" w:start="1"/>
          <w:cols w:space="0" w:num="1"/>
          <w:rtlGutter w:val="0"/>
          <w:docGrid w:linePitch="0" w:charSpace="0"/>
        </w:sectPr>
      </w:pPr>
    </w:p>
    <w:p>
      <w:pPr>
        <w:pStyle w:val="25"/>
        <w:spacing w:line="500" w:lineRule="exact"/>
        <w:ind w:firstLine="0" w:firstLineChars="0"/>
        <w:outlineLvl w:val="0"/>
        <w:rPr>
          <w:rFonts w:hint="eastAsia" w:ascii="仿宋" w:hAnsi="仿宋" w:eastAsia="仿宋" w:cs="仿宋"/>
          <w:b/>
          <w:bCs/>
          <w:sz w:val="30"/>
          <w:szCs w:val="30"/>
        </w:rPr>
        <w:sectPr>
          <w:footerReference r:id="rId5" w:type="default"/>
          <w:type w:val="continuous"/>
          <w:pgSz w:w="11900" w:h="16838"/>
          <w:pgMar w:top="1440" w:right="1797" w:bottom="1440" w:left="1797" w:header="850" w:footer="992" w:gutter="0"/>
          <w:pgNumType w:fmt="decimal"/>
          <w:cols w:space="0" w:num="1"/>
          <w:rtlGutter w:val="0"/>
          <w:docGrid w:linePitch="0" w:charSpace="0"/>
        </w:sectPr>
      </w:pPr>
    </w:p>
    <w:p>
      <w:pPr>
        <w:pStyle w:val="25"/>
        <w:spacing w:line="500" w:lineRule="exact"/>
        <w:ind w:firstLine="0" w:firstLineChars="0"/>
        <w:outlineLvl w:val="0"/>
        <w:rPr>
          <w:rFonts w:hint="eastAsia" w:ascii="黑体" w:hAnsi="黑体" w:eastAsia="黑体" w:cs="黑体"/>
          <w:b w:val="0"/>
          <w:bCs w:val="0"/>
          <w:sz w:val="30"/>
          <w:szCs w:val="30"/>
        </w:rPr>
      </w:pPr>
      <w:bookmarkStart w:id="1" w:name="_Toc28389"/>
      <w:r>
        <w:rPr>
          <w:rFonts w:hint="eastAsia" w:ascii="黑体" w:hAnsi="黑体" w:eastAsia="黑体" w:cs="黑体"/>
          <w:b w:val="0"/>
          <w:bCs w:val="0"/>
          <w:sz w:val="30"/>
          <w:szCs w:val="30"/>
        </w:rPr>
        <w:t>1.基本情况</w:t>
      </w:r>
      <w:bookmarkEnd w:id="0"/>
      <w:bookmarkEnd w:id="1"/>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 w:name="_Toc10315"/>
      <w:bookmarkStart w:id="3" w:name="_Toc658"/>
      <w:r>
        <w:rPr>
          <w:rFonts w:hint="eastAsia" w:ascii="楷体_GB2312" w:hAnsi="楷体_GB2312" w:eastAsia="楷体_GB2312" w:cs="楷体_GB2312"/>
          <w:sz w:val="32"/>
          <w:szCs w:val="32"/>
          <w:lang w:val="en-US" w:eastAsia="zh-CN"/>
        </w:rPr>
        <w:t>1.1项目库编号</w:t>
      </w:r>
      <w:bookmarkEnd w:id="2"/>
      <w:bookmarkEnd w:id="3"/>
    </w:p>
    <w:p>
      <w:pPr>
        <w:kinsoku/>
        <w:wordWrap/>
        <w:overflowPunct/>
        <w:topLinePunct w:val="0"/>
        <w:autoSpaceDE/>
        <w:autoSpaceDN/>
        <w:bidi w:val="0"/>
        <w:spacing w:line="500" w:lineRule="exact"/>
        <w:ind w:left="0" w:firstLine="640" w:firstLineChars="200"/>
        <w:rPr>
          <w:rFonts w:hint="eastAsia" w:ascii="仿宋" w:hAnsi="仿宋" w:eastAsia="仿宋" w:cs="仿宋"/>
          <w:b w:val="0"/>
          <w:bCs w:val="0"/>
          <w:sz w:val="32"/>
          <w:szCs w:val="32"/>
          <w:lang w:val="en-US" w:eastAsia="zh-CN" w:bidi="ar-SA"/>
        </w:rPr>
      </w:pPr>
      <w:r>
        <w:rPr>
          <w:rFonts w:hint="eastAsia" w:ascii="仿宋" w:hAnsi="仿宋" w:eastAsia="仿宋" w:cs="仿宋"/>
          <w:b w:val="0"/>
          <w:bCs w:val="0"/>
          <w:sz w:val="32"/>
          <w:szCs w:val="32"/>
          <w:lang w:val="en-US" w:eastAsia="zh-CN" w:bidi="ar-SA"/>
        </w:rPr>
        <w:t>tc2024236</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 w:name="_Toc12050"/>
      <w:bookmarkStart w:id="5" w:name="_Toc31397"/>
      <w:r>
        <w:rPr>
          <w:rFonts w:hint="eastAsia" w:ascii="楷体_GB2312" w:hAnsi="楷体_GB2312" w:eastAsia="楷体_GB2312" w:cs="楷体_GB2312"/>
          <w:sz w:val="32"/>
          <w:szCs w:val="32"/>
          <w:lang w:val="en-US" w:eastAsia="zh-CN"/>
        </w:rPr>
        <w:t>1.2项目名称</w:t>
      </w:r>
      <w:bookmarkEnd w:id="4"/>
      <w:bookmarkEnd w:id="5"/>
    </w:p>
    <w:p>
      <w:pPr>
        <w:pStyle w:val="25"/>
        <w:spacing w:line="500" w:lineRule="exact"/>
        <w:ind w:left="0" w:leftChars="0" w:firstLine="640" w:firstLineChars="200"/>
        <w:outlineLvl w:val="1"/>
        <w:rPr>
          <w:rFonts w:hint="eastAsia" w:ascii="仿宋" w:hAnsi="仿宋" w:eastAsia="仿宋" w:cs="仿宋"/>
          <w:b w:val="0"/>
          <w:bCs w:val="0"/>
          <w:sz w:val="32"/>
          <w:szCs w:val="32"/>
          <w:lang w:val="en-US" w:eastAsia="zh-CN" w:bidi="ar-SA"/>
        </w:rPr>
      </w:pPr>
      <w:bookmarkStart w:id="6" w:name="_Toc25698"/>
      <w:bookmarkStart w:id="7" w:name="_Toc5367"/>
      <w:r>
        <w:rPr>
          <w:rFonts w:hint="eastAsia" w:ascii="仿宋" w:hAnsi="仿宋" w:eastAsia="仿宋" w:cs="仿宋"/>
          <w:b w:val="0"/>
          <w:bCs w:val="0"/>
          <w:sz w:val="32"/>
          <w:szCs w:val="32"/>
          <w:lang w:val="en-US" w:eastAsia="zh-CN" w:bidi="ar-SA"/>
        </w:rPr>
        <w:t>塔城市二工镇五个社区暖圈建设项目</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1.3项目主管单位</w:t>
      </w:r>
      <w:bookmarkEnd w:id="6"/>
      <w:bookmarkEnd w:id="7"/>
    </w:p>
    <w:p>
      <w:pPr>
        <w:kinsoku/>
        <w:wordWrap/>
        <w:overflowPunct/>
        <w:topLinePunct w:val="0"/>
        <w:autoSpaceDE/>
        <w:autoSpaceDN/>
        <w:bidi w:val="0"/>
        <w:spacing w:line="500" w:lineRule="exact"/>
        <w:ind w:left="0" w:firstLine="640" w:firstLineChars="200"/>
        <w:rPr>
          <w:rFonts w:hint="default" w:ascii="仿宋" w:hAnsi="仿宋" w:eastAsia="仿宋" w:cs="仿宋"/>
          <w:color w:val="auto"/>
          <w:sz w:val="32"/>
          <w:szCs w:val="32"/>
          <w:lang w:val="en-US" w:eastAsia="zh-CN"/>
        </w:rPr>
      </w:pPr>
      <w:r>
        <w:rPr>
          <w:rFonts w:hint="eastAsia" w:ascii="仿宋" w:hAnsi="仿宋" w:eastAsia="仿宋" w:cs="仿宋"/>
          <w:b w:val="0"/>
          <w:bCs w:val="0"/>
          <w:sz w:val="32"/>
          <w:szCs w:val="32"/>
          <w:lang w:val="en-US" w:eastAsia="zh-CN" w:bidi="ar-SA"/>
        </w:rPr>
        <w:t>塔城市</w:t>
      </w:r>
      <w:r>
        <w:rPr>
          <w:rFonts w:hint="eastAsia" w:ascii="仿宋" w:hAnsi="仿宋" w:eastAsia="仿宋" w:cs="仿宋"/>
          <w:sz w:val="32"/>
          <w:szCs w:val="32"/>
          <w:lang w:val="en-US" w:eastAsia="zh-CN" w:bidi="ar-SA"/>
        </w:rPr>
        <w:t>乡村</w:t>
      </w:r>
      <w:r>
        <w:rPr>
          <w:rFonts w:hint="eastAsia" w:ascii="仿宋" w:hAnsi="仿宋" w:eastAsia="仿宋" w:cs="仿宋"/>
          <w:b w:val="0"/>
          <w:bCs w:val="0"/>
          <w:sz w:val="32"/>
          <w:szCs w:val="32"/>
          <w:lang w:val="en-US" w:eastAsia="zh-CN" w:bidi="ar-SA"/>
        </w:rPr>
        <w:t>振兴局</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 w:name="_Toc12155"/>
      <w:bookmarkStart w:id="9" w:name="_Toc27977"/>
      <w:r>
        <w:rPr>
          <w:rFonts w:hint="eastAsia" w:ascii="楷体_GB2312" w:hAnsi="楷体_GB2312" w:eastAsia="楷体_GB2312" w:cs="楷体_GB2312"/>
          <w:sz w:val="32"/>
          <w:szCs w:val="32"/>
          <w:lang w:val="en-US" w:eastAsia="zh-CN"/>
        </w:rPr>
        <w:t>1.4项目实施单位</w:t>
      </w:r>
      <w:bookmarkEnd w:id="8"/>
      <w:bookmarkEnd w:id="9"/>
    </w:p>
    <w:p>
      <w:pPr>
        <w:kinsoku/>
        <w:wordWrap/>
        <w:overflowPunct/>
        <w:topLinePunct w:val="0"/>
        <w:autoSpaceDE/>
        <w:autoSpaceDN/>
        <w:bidi w:val="0"/>
        <w:spacing w:line="500" w:lineRule="exact"/>
        <w:ind w:left="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val="en-US" w:eastAsia="zh-CN"/>
        </w:rPr>
        <w:t>塔城市</w:t>
      </w:r>
      <w:r>
        <w:rPr>
          <w:rFonts w:hint="eastAsia" w:ascii="仿宋" w:hAnsi="Times New Roman" w:eastAsia="仿宋" w:cs="仿宋"/>
          <w:sz w:val="32"/>
          <w:szCs w:val="32"/>
          <w:lang w:eastAsia="zh-CN"/>
        </w:rPr>
        <w:t>二工镇人民政府</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 w:name="_Toc8644"/>
      <w:bookmarkStart w:id="11" w:name="_Toc30004"/>
      <w:r>
        <w:rPr>
          <w:rFonts w:hint="eastAsia" w:ascii="楷体_GB2312" w:hAnsi="楷体_GB2312" w:eastAsia="楷体_GB2312" w:cs="楷体_GB2312"/>
          <w:sz w:val="32"/>
          <w:szCs w:val="32"/>
          <w:lang w:val="en-US" w:eastAsia="zh-CN"/>
        </w:rPr>
        <w:t>1.5项目建设性质</w:t>
      </w:r>
      <w:bookmarkEnd w:id="10"/>
      <w:bookmarkEnd w:id="11"/>
    </w:p>
    <w:p>
      <w:pPr>
        <w:kinsoku/>
        <w:wordWrap/>
        <w:overflowPunct/>
        <w:topLinePunct w:val="0"/>
        <w:autoSpaceDE/>
        <w:autoSpaceDN/>
        <w:bidi w:val="0"/>
        <w:spacing w:line="500" w:lineRule="exact"/>
        <w:ind w:left="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新建</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2" w:name="_Toc12081"/>
      <w:bookmarkStart w:id="13" w:name="_Toc31154"/>
      <w:r>
        <w:rPr>
          <w:rFonts w:hint="eastAsia" w:ascii="楷体_GB2312" w:hAnsi="楷体_GB2312" w:eastAsia="楷体_GB2312" w:cs="楷体_GB2312"/>
          <w:sz w:val="32"/>
          <w:szCs w:val="32"/>
          <w:lang w:val="en-US" w:eastAsia="zh-CN"/>
        </w:rPr>
        <w:t>1.6项目类别</w:t>
      </w:r>
      <w:bookmarkEnd w:id="12"/>
      <w:bookmarkEnd w:id="13"/>
    </w:p>
    <w:p>
      <w:pPr>
        <w:kinsoku/>
        <w:wordWrap/>
        <w:overflowPunct/>
        <w:topLinePunct w:val="0"/>
        <w:autoSpaceDE/>
        <w:autoSpaceDN/>
        <w:bidi w:val="0"/>
        <w:spacing w:line="500" w:lineRule="exact"/>
        <w:ind w:left="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产业类项目</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4" w:name="_Toc18612"/>
      <w:bookmarkStart w:id="15" w:name="_Toc7981"/>
      <w:r>
        <w:rPr>
          <w:rFonts w:hint="eastAsia" w:ascii="楷体_GB2312" w:hAnsi="楷体_GB2312" w:eastAsia="楷体_GB2312" w:cs="楷体_GB2312"/>
          <w:sz w:val="32"/>
          <w:szCs w:val="32"/>
          <w:lang w:val="en-US" w:eastAsia="zh-CN"/>
        </w:rPr>
        <w:fldChar w:fldCharType="begin"/>
      </w:r>
      <w:r>
        <w:rPr>
          <w:rFonts w:hint="eastAsia" w:ascii="楷体_GB2312" w:hAnsi="楷体_GB2312" w:eastAsia="楷体_GB2312" w:cs="楷体_GB2312"/>
          <w:sz w:val="32"/>
          <w:szCs w:val="32"/>
          <w:lang w:val="en-US" w:eastAsia="zh-CN"/>
        </w:rPr>
        <w:instrText xml:space="preserve"> HYPERLINK "某养殖类项目建设内容.pdf" </w:instrText>
      </w:r>
      <w:r>
        <w:rPr>
          <w:rFonts w:hint="eastAsia" w:ascii="楷体_GB2312" w:hAnsi="楷体_GB2312" w:eastAsia="楷体_GB2312" w:cs="楷体_GB2312"/>
          <w:sz w:val="32"/>
          <w:szCs w:val="32"/>
          <w:lang w:val="en-US" w:eastAsia="zh-CN"/>
        </w:rPr>
        <w:fldChar w:fldCharType="separate"/>
      </w:r>
      <w:r>
        <w:rPr>
          <w:rFonts w:hint="eastAsia" w:ascii="楷体_GB2312" w:hAnsi="楷体_GB2312" w:eastAsia="楷体_GB2312" w:cs="楷体_GB2312"/>
          <w:sz w:val="32"/>
          <w:szCs w:val="32"/>
          <w:lang w:val="en-US" w:eastAsia="zh-CN"/>
        </w:rPr>
        <w:t>1.7 项目建设内容</w:t>
      </w:r>
      <w:r>
        <w:rPr>
          <w:rFonts w:hint="eastAsia" w:ascii="楷体_GB2312" w:hAnsi="楷体_GB2312" w:eastAsia="楷体_GB2312" w:cs="楷体_GB2312"/>
          <w:sz w:val="32"/>
          <w:szCs w:val="32"/>
          <w:lang w:val="en-US" w:eastAsia="zh-CN"/>
        </w:rPr>
        <w:fldChar w:fldCharType="end"/>
      </w:r>
      <w:bookmarkEnd w:id="14"/>
      <w:bookmarkEnd w:id="15"/>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本</w:t>
      </w:r>
      <w:r>
        <w:rPr>
          <w:rFonts w:hint="eastAsia" w:ascii="仿宋" w:hAnsi="仿宋" w:eastAsia="仿宋" w:cs="仿宋"/>
          <w:b w:val="0"/>
          <w:bCs w:val="0"/>
          <w:sz w:val="32"/>
          <w:szCs w:val="32"/>
          <w:lang w:val="en-US" w:eastAsia="zh-CN" w:bidi="ar-SA"/>
        </w:rPr>
        <w:t>项目总投资395万元，在天羊牧业园区建设5座800平方米的圈舍及配套设施，用于铁列克社区、南湖社区、南山社区、也克苏社区、园艺社区发展本村畜牧业，固定资产收益由村集体收益（最终已设计为准）。</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6" w:name="_Toc29303"/>
      <w:bookmarkStart w:id="17" w:name="_Toc30477"/>
      <w:r>
        <w:rPr>
          <w:rFonts w:hint="eastAsia" w:ascii="楷体_GB2312" w:hAnsi="楷体_GB2312" w:eastAsia="楷体_GB2312" w:cs="楷体_GB2312"/>
          <w:sz w:val="32"/>
          <w:szCs w:val="32"/>
          <w:lang w:val="en-US" w:eastAsia="zh-CN"/>
        </w:rPr>
        <w:t>1.8项目资金筹措</w:t>
      </w:r>
      <w:bookmarkEnd w:id="16"/>
      <w:bookmarkEnd w:id="17"/>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项目资金来源：项目总投资395万元，少数民族发展资金377万元、中央提前下达财政衔接推进乡村振兴补助资金18万元。</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8" w:name="_Toc8004"/>
      <w:bookmarkStart w:id="19" w:name="_Toc13032"/>
      <w:r>
        <w:rPr>
          <w:rFonts w:hint="eastAsia" w:ascii="楷体_GB2312" w:hAnsi="楷体_GB2312" w:eastAsia="楷体_GB2312" w:cs="楷体_GB2312"/>
          <w:sz w:val="32"/>
          <w:szCs w:val="32"/>
          <w:lang w:val="en-US" w:eastAsia="zh-CN"/>
        </w:rPr>
        <w:t>1.9项目建设期限</w:t>
      </w:r>
      <w:bookmarkEnd w:id="18"/>
      <w:bookmarkEnd w:id="19"/>
    </w:p>
    <w:p>
      <w:pPr>
        <w:spacing w:after="0" w:line="518" w:lineRule="exact"/>
        <w:ind w:right="146" w:firstLine="640" w:firstLineChars="200"/>
        <w:jc w:val="both"/>
        <w:rPr>
          <w:rFonts w:hint="eastAsia" w:ascii="仿宋" w:hAnsi="仿宋" w:eastAsia="仿宋" w:cs="仿宋"/>
          <w:color w:val="auto"/>
          <w:sz w:val="32"/>
          <w:szCs w:val="32"/>
        </w:rPr>
      </w:pPr>
      <w:r>
        <w:rPr>
          <w:rFonts w:hint="eastAsia" w:ascii="仿宋" w:hAnsi="仿宋" w:eastAsia="仿宋" w:cs="仿宋"/>
          <w:sz w:val="32"/>
          <w:szCs w:val="32"/>
          <w:lang w:val="en-US" w:eastAsia="zh-CN" w:bidi="ar-SA"/>
        </w:rPr>
        <w:t>项目施工期限8个月，</w:t>
      </w:r>
      <w:r>
        <w:rPr>
          <w:rFonts w:hint="eastAsia" w:ascii="仿宋" w:hAnsi="仿宋" w:eastAsia="仿宋" w:cs="仿宋"/>
          <w:color w:val="auto"/>
          <w:sz w:val="32"/>
          <w:szCs w:val="32"/>
        </w:rPr>
        <w:t>建设期限为202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0" w:name="_Toc15828"/>
      <w:bookmarkStart w:id="21" w:name="_Toc17432"/>
      <w:r>
        <w:rPr>
          <w:rFonts w:hint="eastAsia" w:ascii="楷体_GB2312" w:hAnsi="楷体_GB2312" w:eastAsia="楷体_GB2312" w:cs="楷体_GB2312"/>
          <w:sz w:val="32"/>
          <w:szCs w:val="32"/>
          <w:lang w:val="en-US" w:eastAsia="zh-CN"/>
        </w:rPr>
        <w:t>1.10项目建设地点及基本情况</w:t>
      </w:r>
      <w:bookmarkEnd w:id="20"/>
      <w:bookmarkEnd w:id="21"/>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本项目拟建设地点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塔城市</w:t>
      </w:r>
      <w:r>
        <w:rPr>
          <w:rFonts w:hint="eastAsia" w:ascii="仿宋" w:hAnsi="仿宋" w:eastAsia="仿宋" w:cs="仿宋"/>
          <w:b w:val="0"/>
          <w:bCs w:val="0"/>
          <w:sz w:val="32"/>
          <w:szCs w:val="32"/>
          <w:lang w:val="en-US" w:eastAsia="zh-CN" w:bidi="ar-SA"/>
        </w:rPr>
        <w:t>天羊牧业园区养殖聚集区</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lang w:val="en-US" w:eastAsia="zh-CN"/>
        </w:rPr>
      </w:pPr>
      <w:bookmarkStart w:id="22" w:name="_Toc21682"/>
      <w:bookmarkStart w:id="23" w:name="_Toc20621"/>
      <w:r>
        <w:rPr>
          <w:rFonts w:hint="eastAsia" w:ascii="仿宋" w:hAnsi="仿宋" w:eastAsia="仿宋" w:cs="仿宋"/>
          <w:sz w:val="32"/>
          <w:szCs w:val="32"/>
          <w:lang w:val="en-US" w:eastAsia="zh-CN"/>
        </w:rPr>
        <w:t>1、地理位置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位于新疆维吾尔自治区西北部、准噶尔盆地西北边缘的塔城盆地，西北部与哈萨克斯坦共和国接壤，东与额敏县毗连，南与裕民县相邻，总面积4356.6平方公里。地处东经82°41′~83°41′，北纬46°21′~47°14′。市域总面积4356.6平方公里。东距自治区首府乌鲁木齐市530公里，西距国家一类口岸--</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"http://baike.so.com/doc/6222083-6435389.html" \t "http://baike.so.com/doc/_blank"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巴克图口岸</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直线距离仅12公里，是中国距离边境最近的开放城市之一。</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位于塔城市郊，环城四周分布，东与喀拉哈巴克乡、阿西尔乡接壤，南与托里县库普乡交界，西至边境线，北与阿西尔乡、兵团第九师164团接壤，是地区发展小城镇建设的重要乡镇之一，也是地区唯一的口岸乡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二工镇铁列克提社区位于塔城市以北40公里，塔尔巴哈台山前麓，是一个以畜牧养殖为主的牧业村队。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二工镇南湖社区地处塔城盆地之“肾”的库鲁斯台草原腹地，位于塔城向南30公里处，是一个以畜牧业为主的纯牧业村队。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二工镇南山社区位于二工镇政府以南48公里处、处于塔城市高速公路交通要道，全村辖区总面积50平方公里，是一个以畜牧业为主的纯牧业村队。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也克苏社区</w:t>
      </w:r>
      <w:r>
        <w:rPr>
          <w:rFonts w:hint="eastAsia" w:ascii="仿宋" w:hAnsi="仿宋" w:eastAsia="仿宋" w:cs="仿宋"/>
          <w:sz w:val="32"/>
          <w:szCs w:val="32"/>
          <w:lang w:val="en-US" w:eastAsia="zh-CN"/>
        </w:rPr>
        <w:t>下辖农田一队和农田二队，</w:t>
      </w:r>
      <w:r>
        <w:rPr>
          <w:rFonts w:hint="eastAsia" w:ascii="仿宋" w:hAnsi="仿宋" w:eastAsia="仿宋" w:cs="仿宋"/>
          <w:sz w:val="32"/>
          <w:szCs w:val="32"/>
        </w:rPr>
        <w:t>东邻也门勒乡、南邻裕民县，西邻162团</w:t>
      </w:r>
      <w:r>
        <w:rPr>
          <w:rFonts w:hint="eastAsia" w:ascii="仿宋" w:hAnsi="仿宋" w:eastAsia="仿宋" w:cs="仿宋"/>
          <w:sz w:val="32"/>
          <w:szCs w:val="32"/>
          <w:lang w:eastAsia="zh-CN"/>
        </w:rPr>
        <w:t>。</w:t>
      </w:r>
      <w:r>
        <w:rPr>
          <w:rFonts w:hint="eastAsia" w:ascii="仿宋" w:hAnsi="仿宋" w:eastAsia="仿宋" w:cs="仿宋"/>
          <w:sz w:val="32"/>
          <w:szCs w:val="32"/>
        </w:rPr>
        <w:t>是一个以农牧业结合的社区</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二工镇园艺村位于塔城市西南郊1.6公里处。</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2、地形地貌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地区地势复杂。北部为西准噶尔山地，南部为北天山山地，而东、中部属准噶尔盆地。南北高，东、中部低，呈马鞍形。北部的塔尔巴哈台山、巴尔鲁克山、萨吾尔山和南部的北天山中段依连哈比尔尕山，山高岭峻，群峰叠嶂，白雪皑皑，终年不化，松林绵延，四季常青。塔城盆地水草丰茂，沃野千里；铁厂沟、和布克谷地地下宝藏量大质优，前景看好；乌苏、沙湾两县面向天山雄峰，北靠浩瀚大漠，境内绿洲、乡镇星罗棋布。塔城市境北部高山绵延，丘陵起伏；中部系广阔的洪积扇平原；南部沼泽、洼地星罗棋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本地区构造单元属准噶尔中新生代坳陷之凹陷。包括二叠系及整个中生代沉积区，该凹陷发育于二叠系早期，受印支、燕山运动的影响使各时代地层均有不同程度的皱褶。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凹陷区主要为鼻状背斜褶皱构造，背斜之核部常由二叠系、三叠系组成，两翼由侏罗系及白垩系组成，轴线西部近南北向，向南倾伏，在东部则向东西向转化，向西倾伏。褶皱之核部开阔，顶部产状平缓，两翼对称。该区域没有大的断裂构造，地质条件较好。</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塔城市三面环山，向西开口，南部沼泽洼地，星罗棋布，形成闻名的库鲁斯台大草原，总面积389万亩。塔城市市境北部高山绵延，丘陵起伏;中部系广阔的洪积扇平原;南部沼泽、洼地星罗棋布。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3、土地资源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塔城市有森林面积4700公顷，耕地面积130万亩，草场面积517万亩，播种面积59112.2公顷，粮食播种面积27148.47公顷，经济作物播种面积23860公顷，其它作物播种面积8103.73公顷。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4、水资源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境内水资源丰富，境内有14条河流，沟溪43条，泉水上千眼。故也被称之为“离海洋最远的千泉口岸之城”。塔城水草丰美，气候适宜，土地肥沃，矿产丰富，素有“准噶尔门户”之称。塔城是全疆人均占有绿地面积最多的城市，是全疆唯一有五条河流穿城而过的城市，是全疆唯一拥有达斡尔民族乡的城市，是全国空气质量最好的城市之一，是全疆空气质量最好的城市。在中国环境规划院公布的全国城市大气环境承载力评估排名中，塔城市名列第七，是全疆唯一一个进入前十名的城市。</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5、气候</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项目区属温带大陆干旱气候区，四季交替不分明，春季气温回升快而不稳定，夏季短促而炎热，冬季漫长而酷冷。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6、人口、民族</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二工镇辖区18个村队、5个社区.总人口7865户24095人，其中汉族13827人、维吾尔族624人、哈萨克族3864人、回族3015人、俄罗斯族170人、蒙古族131人、达斡尔族167人、其他民族2297人。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二工镇铁列克提社区社区户籍人口共有540户1540人，常住人口有274户753人。由哈萨克族、柯尔克孜族、汉族、回族族等8个民族组成，其中哈萨克族占67.6%，柯尔克孜族占21.5%，其他民族占10.9%。</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湖社区下辖哈勒奇勒克队、哈落依队、哈勒曼吉克队，社区现有居民480户1528人，常住人口86户559人，由汉族、哈萨克族、柯尔克孜族、蒙古族、回族、东乡、藏族、撒拉族、维吾尔族等9个民族组成，分别居住在开发区、南山冬窝子、北山卡姆斯台、齐巴尔吉迭、塔城市城区五个片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二工镇南山社区下辖牧业一队、牧业二队、牧业三队，现有村民292户953人。由哈、柯尔克孜、塔塔尔族、汉族等4个民族组成。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二工镇也克苏</w:t>
      </w:r>
      <w:r>
        <w:rPr>
          <w:rFonts w:hint="eastAsia" w:ascii="仿宋" w:hAnsi="仿宋" w:eastAsia="仿宋" w:cs="仿宋"/>
          <w:sz w:val="32"/>
          <w:szCs w:val="32"/>
        </w:rPr>
        <w:t>社区</w:t>
      </w:r>
      <w:r>
        <w:rPr>
          <w:rFonts w:hint="eastAsia" w:ascii="仿宋" w:hAnsi="仿宋" w:eastAsia="仿宋" w:cs="仿宋"/>
          <w:sz w:val="32"/>
          <w:szCs w:val="32"/>
          <w:lang w:val="en-US" w:eastAsia="zh-CN"/>
        </w:rPr>
        <w:t>下辖农田一队和农田二队，</w:t>
      </w:r>
      <w:r>
        <w:rPr>
          <w:rFonts w:hint="eastAsia" w:ascii="仿宋" w:hAnsi="仿宋" w:eastAsia="仿宋" w:cs="仿宋"/>
          <w:sz w:val="32"/>
          <w:szCs w:val="32"/>
        </w:rPr>
        <w:t>共有</w:t>
      </w:r>
      <w:r>
        <w:rPr>
          <w:rFonts w:hint="eastAsia" w:ascii="仿宋" w:hAnsi="仿宋" w:eastAsia="仿宋" w:cs="仿宋"/>
          <w:b w:val="0"/>
          <w:bCs/>
          <w:sz w:val="32"/>
          <w:szCs w:val="32"/>
          <w:u w:val="none"/>
        </w:rPr>
        <w:t>426户1241人</w:t>
      </w:r>
      <w:r>
        <w:rPr>
          <w:rFonts w:hint="eastAsia" w:ascii="仿宋" w:hAnsi="仿宋" w:eastAsia="仿宋" w:cs="仿宋"/>
          <w:b w:val="0"/>
          <w:bCs/>
          <w:sz w:val="32"/>
          <w:szCs w:val="32"/>
          <w:u w:val="none"/>
          <w:lang w:val="en-US" w:eastAsia="zh-CN"/>
        </w:rPr>
        <w:t>,</w:t>
      </w:r>
      <w:r>
        <w:rPr>
          <w:rFonts w:hint="eastAsia" w:ascii="仿宋" w:hAnsi="仿宋" w:eastAsia="仿宋" w:cs="仿宋"/>
          <w:b w:val="0"/>
          <w:bCs/>
          <w:sz w:val="32"/>
          <w:szCs w:val="32"/>
          <w:u w:val="none"/>
        </w:rPr>
        <w:t>主要由哈萨克族、回族、汉族、</w:t>
      </w:r>
      <w:r>
        <w:rPr>
          <w:rFonts w:hint="eastAsia" w:ascii="仿宋" w:hAnsi="仿宋" w:eastAsia="仿宋" w:cs="仿宋"/>
          <w:sz w:val="32"/>
          <w:szCs w:val="32"/>
          <w:u w:val="none"/>
        </w:rPr>
        <w:t>蒙古、藏族、锡伯族等</w:t>
      </w:r>
      <w:r>
        <w:rPr>
          <w:rFonts w:hint="eastAsia" w:ascii="仿宋" w:hAnsi="仿宋" w:eastAsia="仿宋" w:cs="仿宋"/>
          <w:b w:val="0"/>
          <w:bCs/>
          <w:sz w:val="32"/>
          <w:szCs w:val="32"/>
          <w:u w:val="none"/>
        </w:rPr>
        <w:t>14</w:t>
      </w:r>
      <w:r>
        <w:rPr>
          <w:rFonts w:hint="eastAsia" w:ascii="仿宋" w:hAnsi="仿宋" w:eastAsia="仿宋" w:cs="仿宋"/>
          <w:sz w:val="32"/>
          <w:szCs w:val="32"/>
          <w:u w:val="none"/>
        </w:rPr>
        <w:t>个民族组成，少数</w:t>
      </w:r>
      <w:r>
        <w:rPr>
          <w:rFonts w:hint="eastAsia" w:ascii="仿宋" w:hAnsi="仿宋" w:eastAsia="仿宋" w:cs="仿宋"/>
          <w:sz w:val="32"/>
          <w:szCs w:val="32"/>
        </w:rPr>
        <w:t>民族比例61.7%。</w:t>
      </w:r>
    </w:p>
    <w:p>
      <w:pPr>
        <w:spacing w:line="560" w:lineRule="exact"/>
        <w:ind w:firstLine="640" w:firstLineChars="200"/>
        <w:rPr>
          <w:rFonts w:hint="eastAsia"/>
          <w:sz w:val="32"/>
          <w:szCs w:val="32"/>
          <w:lang w:val="en-US" w:eastAsia="zh-CN"/>
        </w:rPr>
      </w:pPr>
      <w:r>
        <w:rPr>
          <w:rFonts w:hint="eastAsia" w:ascii="仿宋" w:hAnsi="仿宋" w:eastAsia="仿宋" w:cs="仿宋"/>
          <w:sz w:val="32"/>
          <w:szCs w:val="32"/>
          <w:lang w:val="en-US" w:eastAsia="zh-CN"/>
        </w:rPr>
        <w:t>二工镇园艺社区户籍人口345户900人，常住人口193户516人，由由汉、回、俄罗斯、维吾尔、哈萨克、锡伯、达斡尔等10个民族组成。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7、经济</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二工镇辖区总面积1049.61平方公里，耕地面积19.67万亩、草场232.06万亩、林地3.158亩、边境线57.5公里。2022年人均收入19694元。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铁列克提社区辖区总面积129.37平方公里，林地3142亩，天然草场15.4万亩，苜蓿地3.6万亩，牲畜存栏3.7万头(只)。主要以种植苜蓿、放牧为主，自然条件优越，风景优美，利用自然优势发展旅游观光业，带动民宿、餐饮业发展。无集体收入，2022年人均纯收入22494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湖社区是一个以畜牧业为主的纯牧业村队，有草场面积513219亩，其中开发区天然打草场面积255627亩，饲草料地面积（即卡姆斯台苜蓿地）9921亩。耕地面积16188亩，种植冬麦156亩、玉米6140亩、苜蓿9994亩，林地600亩，现有各类牲畜存栏总数44706头（只），其中羊39967只、牛3155头、马1500匹、骆驼84峰。无集体收入。</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二工镇南山社区总草场面积962363.6亩，是一个以畜牧业为主的纯牧业村队，牲畜存栏总数约43658头（只），其中羊34926只、牛8073头、马659匹、骆驼52峰，无集体收入，2022年农民人均纯收入14500元。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二工镇也克苏社区下辖农田二队和农田一队，</w:t>
      </w:r>
      <w:r>
        <w:rPr>
          <w:rFonts w:hint="eastAsia" w:ascii="仿宋" w:hAnsi="仿宋" w:eastAsia="仿宋" w:cs="仿宋"/>
          <w:sz w:val="32"/>
          <w:szCs w:val="32"/>
        </w:rPr>
        <w:t>主要以种植玉米、打瓜为主，是一个以农牧业结合的社区</w:t>
      </w:r>
      <w:r>
        <w:rPr>
          <w:rFonts w:hint="eastAsia" w:ascii="仿宋" w:hAnsi="仿宋" w:eastAsia="仿宋" w:cs="仿宋"/>
          <w:sz w:val="32"/>
          <w:szCs w:val="32"/>
          <w:lang w:eastAsia="zh-CN"/>
        </w:rPr>
        <w:t>，</w:t>
      </w:r>
      <w:r>
        <w:rPr>
          <w:rFonts w:hint="eastAsia" w:ascii="仿宋" w:hAnsi="仿宋" w:eastAsia="仿宋" w:cs="仿宋"/>
          <w:sz w:val="32"/>
          <w:szCs w:val="32"/>
        </w:rPr>
        <w:t>全社区共有耕地面积24100余亩，人均耕地20亩，机电井32眼，牲畜存栏7600头（只匹），常驻人口190户547人</w:t>
      </w:r>
      <w:r>
        <w:rPr>
          <w:rFonts w:hint="eastAsia" w:ascii="仿宋" w:hAnsi="仿宋" w:eastAsia="仿宋" w:cs="仿宋"/>
          <w:sz w:val="32"/>
          <w:szCs w:val="32"/>
          <w:lang w:val="en-US" w:eastAsia="zh-CN"/>
        </w:rPr>
        <w:t>,无集体收入，</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年农牧民人均纯收入1.2万元</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园艺社区总耕地面积6270亩（耕地4332亩、果园848亩、林地800亩、草地300亩），以种植林果业、啤酒花、草莓和设施农业为主，兼种打瓜、玉米等大众作物。我社区于2019年11月17日完成国营农场改制，改制前为国营农场，无集体经济收入。2022年人均纯收入18600元。</w:t>
      </w:r>
    </w:p>
    <w:p>
      <w:pPr>
        <w:pStyle w:val="2"/>
        <w:numPr>
          <w:ilvl w:val="2"/>
          <w:numId w:val="0"/>
        </w:numPr>
        <w:tabs>
          <w:tab w:val="clear" w:pos="2127"/>
        </w:tabs>
        <w:rPr>
          <w:rFonts w:hint="eastAsia"/>
          <w:sz w:val="32"/>
          <w:szCs w:val="32"/>
          <w:lang w:val="en-US" w:eastAsia="zh-CN"/>
        </w:rPr>
      </w:pPr>
    </w:p>
    <w:p>
      <w:pPr>
        <w:pStyle w:val="25"/>
        <w:spacing w:line="500" w:lineRule="exact"/>
        <w:ind w:firstLine="0" w:firstLineChars="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2.项目立项情况</w:t>
      </w:r>
      <w:bookmarkEnd w:id="22"/>
      <w:bookmarkEnd w:id="23"/>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4" w:name="_Toc24342"/>
      <w:bookmarkStart w:id="25" w:name="_Toc12007"/>
      <w:r>
        <w:rPr>
          <w:rFonts w:hint="eastAsia" w:ascii="楷体_GB2312" w:hAnsi="楷体_GB2312" w:eastAsia="楷体_GB2312" w:cs="楷体_GB2312"/>
          <w:sz w:val="32"/>
          <w:szCs w:val="32"/>
          <w:lang w:val="en-US" w:eastAsia="zh-CN"/>
        </w:rPr>
        <w:t>2.1项目建设依据</w:t>
      </w:r>
      <w:bookmarkEnd w:id="24"/>
      <w:bookmarkEnd w:id="2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中华人民共和国</w:t>
      </w:r>
      <w:r>
        <w:rPr>
          <w:rFonts w:hint="eastAsia" w:ascii="仿宋" w:hAnsi="仿宋" w:eastAsia="仿宋" w:cs="仿宋"/>
          <w:sz w:val="32"/>
          <w:szCs w:val="32"/>
        </w:rPr>
        <w:t>国民经济和社会发展第十四个五年规划和二〇三五年远景目标》；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（2）中共中央</w:t>
      </w:r>
      <w:r>
        <w:rPr>
          <w:rFonts w:hint="eastAsia" w:ascii="仿宋" w:hAnsi="仿宋" w:eastAsia="仿宋" w:cs="仿宋"/>
          <w:sz w:val="32"/>
          <w:szCs w:val="32"/>
          <w:lang w:eastAsia="zh-CN"/>
        </w:rPr>
        <w:t>、</w:t>
      </w:r>
      <w:r>
        <w:rPr>
          <w:rFonts w:hint="eastAsia" w:ascii="仿宋" w:hAnsi="仿宋" w:eastAsia="仿宋" w:cs="仿宋"/>
          <w:sz w:val="32"/>
          <w:szCs w:val="32"/>
        </w:rPr>
        <w:t>国务院《关于实施乡村振兴战略的意见》；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（3）《自治区全面推进乡村振兴示范引领县创建标准（试行）》的通知；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（4）《自治区全面推进乡村振兴示范乡镇创建标准（试行）》的通知；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（5）《自治区全面推进乡村振兴示范村创建标准（试行）》的通知；</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（6）《新疆维吾尔自治区财政衔接推进乡村振兴补助资金（巩固拓展脱贫攻坚成果和乡村振兴任务）项目管理办法（暂行）》的通知 新乡振（2021）32号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（7）《新疆维吾尔自治区财政衔接推进乡村振兴补助资金管理办法》的通知 新财规（2021）11号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塔城市</w:t>
      </w:r>
      <w:r>
        <w:rPr>
          <w:rFonts w:hint="eastAsia" w:ascii="仿宋" w:hAnsi="仿宋" w:eastAsia="仿宋" w:cs="仿宋"/>
          <w:sz w:val="32"/>
          <w:szCs w:val="32"/>
        </w:rPr>
        <w:t>县国民经济和社会发展第十四个五年规划》；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（9）《建设项目经济评价方法与参数》第三版；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（10）《投资项目可行性研究指南》（试用版）；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（11）建设单位提供的其他与项目有关的资料。</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6" w:name="_Toc15348"/>
      <w:bookmarkStart w:id="27" w:name="_Toc12615"/>
      <w:r>
        <w:rPr>
          <w:rFonts w:hint="eastAsia" w:ascii="楷体_GB2312" w:hAnsi="楷体_GB2312" w:eastAsia="楷体_GB2312" w:cs="楷体_GB2312"/>
          <w:sz w:val="32"/>
          <w:szCs w:val="32"/>
          <w:lang w:val="en-US" w:eastAsia="zh-CN"/>
        </w:rPr>
        <w:t>2.2建设内容及规模</w:t>
      </w:r>
      <w:bookmarkEnd w:id="26"/>
      <w:bookmarkEnd w:id="27"/>
    </w:p>
    <w:p>
      <w:pPr>
        <w:pStyle w:val="25"/>
        <w:spacing w:line="500" w:lineRule="exact"/>
        <w:ind w:firstLine="640" w:firstLineChars="200"/>
        <w:outlineLvl w:val="1"/>
        <w:rPr>
          <w:rFonts w:hint="eastAsia" w:ascii="仿宋" w:hAnsi="仿宋" w:eastAsia="仿宋" w:cs="仿宋"/>
          <w:sz w:val="32"/>
          <w:szCs w:val="32"/>
          <w:lang w:val="en-US" w:eastAsia="zh-CN"/>
        </w:rPr>
      </w:pPr>
      <w:bookmarkStart w:id="28" w:name="_Toc13514"/>
      <w:bookmarkStart w:id="29" w:name="_Toc6510"/>
      <w:r>
        <w:rPr>
          <w:rFonts w:hint="eastAsia" w:ascii="仿宋" w:hAnsi="仿宋" w:eastAsia="仿宋" w:cs="仿宋"/>
          <w:sz w:val="32"/>
          <w:szCs w:val="32"/>
          <w:lang w:val="en-US" w:eastAsia="zh-CN"/>
        </w:rPr>
        <w:t>本项目总投资395万元，在天羊牧业园区建设5座800平方米的圈舍及配套设施，用于铁列克社区、南湖社区、南山社区、也克苏社区、园艺社区发展本村畜牧业，固定资产收益由村集体收益。</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2.3项目建设的必要性和可行性</w:t>
      </w:r>
      <w:bookmarkEnd w:id="28"/>
      <w:bookmarkEnd w:id="29"/>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（一）建设的必要性</w:t>
      </w:r>
    </w:p>
    <w:p>
      <w:pPr>
        <w:pStyle w:val="25"/>
        <w:spacing w:line="500" w:lineRule="exact"/>
        <w:ind w:firstLine="640" w:firstLineChars="200"/>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建设是对本地畜牧产业的改良提高，促进其发展的需要。塔城市农牧区优势互补、良性循环的发展格局业已形成，农区养殖专业户的日益增加为农区畜牧业的发展积累了丰富的经验，牧民定居和牧区生产条件的改善及技术措施的推广应用，已为畜牧业的稳定发展奠定了坚实的基础。本产业化建设项目以加工带动养殖，以繁育带动发展，以此促进项目区养殖业的发展。</w:t>
      </w:r>
    </w:p>
    <w:p>
      <w:pPr>
        <w:pStyle w:val="25"/>
        <w:spacing w:line="500" w:lineRule="exact"/>
        <w:ind w:firstLine="640" w:firstLineChars="200"/>
        <w:outlineLvl w:val="1"/>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二工镇铁列克提社区、南湖社区、南山社区、也克苏社区和园艺社区，均为农牧场改革合并的社区，社区无集体收益，项目落地后，通过租赁方式将暖圈对外承包，五个社区通过收取项目资产租赁费获取收益，进一步发展壮大村集体经济。</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（二）建设可行性</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1、政策条件可行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党的二十大指出，实施乡村振兴战略，发展产业，进一步壮大集体经济，顺应广大农民群众过上美好生活。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《中华人民共和国国民经济和社会发展第十四个五年规划和二〇三五年远景目标》指出加强产业发展。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2、政府重视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结合二工镇辖区五个社区产业结构，大力发展养殖产业，壮大社区集体经济，二工镇人民政府高度重视，成立了项目领导小组，为项目建设提供了组织保障。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3、时机成熟</w:t>
      </w:r>
    </w:p>
    <w:p>
      <w:pPr>
        <w:spacing w:line="560" w:lineRule="exact"/>
        <w:ind w:firstLine="640" w:firstLineChars="200"/>
        <w:rPr>
          <w:rFonts w:hint="eastAsia"/>
          <w:sz w:val="32"/>
          <w:szCs w:val="32"/>
          <w:lang w:val="en-US" w:eastAsia="zh-CN"/>
        </w:rPr>
      </w:pPr>
      <w:r>
        <w:rPr>
          <w:rFonts w:hint="eastAsia" w:ascii="仿宋" w:hAnsi="仿宋" w:eastAsia="仿宋" w:cs="仿宋"/>
          <w:sz w:val="32"/>
          <w:szCs w:val="32"/>
          <w:lang w:val="en-US" w:eastAsia="zh-CN"/>
        </w:rPr>
        <w:t>近年来，塔城市二工镇人民政府保持了持续、快速、健康发展的良好势头。项目的实施，将进一步促进养殖业发展，改善辖区五个社区的集体经济，满足项目辐射区社会经济发展的需要，具有明显的经济效益及社会效益。</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4、项目适中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从二工镇经济社会发展的实际情况分析，项目建设切合实际，将使二工镇人民享受到更好的生活环境。</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综上所述，本项目建设目标明确，项目符合国家乡村振兴战略政策要求，符合国家和塔城市发展的实际。因此，项目实施从国家政策、技术、资金及组织管理等各层面分析都是可行的。</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30" w:name="page20"/>
      <w:bookmarkEnd w:id="30"/>
      <w:bookmarkStart w:id="31" w:name="_Toc19590"/>
      <w:bookmarkStart w:id="32" w:name="_Toc27210"/>
      <w:bookmarkStart w:id="33" w:name="_Toc4460"/>
      <w:r>
        <w:rPr>
          <w:rFonts w:hint="eastAsia" w:ascii="楷体_GB2312" w:hAnsi="楷体_GB2312" w:eastAsia="楷体_GB2312" w:cs="楷体_GB2312"/>
          <w:sz w:val="32"/>
          <w:szCs w:val="32"/>
          <w:lang w:val="en-US" w:eastAsia="zh-CN"/>
        </w:rPr>
        <w:t xml:space="preserve">2.4 </w:t>
      </w:r>
      <w:bookmarkEnd w:id="31"/>
      <w:bookmarkEnd w:id="32"/>
      <w:bookmarkEnd w:id="33"/>
      <w:bookmarkStart w:id="34" w:name="_Toc15438"/>
      <w:bookmarkStart w:id="35" w:name="_Toc1459"/>
      <w:r>
        <w:rPr>
          <w:rFonts w:hint="eastAsia" w:ascii="楷体_GB2312" w:hAnsi="楷体_GB2312" w:eastAsia="楷体_GB2312" w:cs="楷体_GB2312"/>
          <w:sz w:val="32"/>
          <w:szCs w:val="32"/>
          <w:lang w:val="en-US" w:eastAsia="zh-CN"/>
        </w:rPr>
        <w:t>综合条件评价</w:t>
      </w:r>
      <w:bookmarkEnd w:id="34"/>
      <w:bookmarkEnd w:id="35"/>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本项目是深入贯彻国家提出的乡村振兴战略精神，也符合“乡村振兴”的政策导向，直接关系到当地农民生活质量能否大幅度提高，关系到项目区全面建成</w:t>
      </w:r>
      <w:r>
        <w:rPr>
          <w:rFonts w:hint="eastAsia" w:ascii="仿宋" w:eastAsia="仿宋" w:cs="仿宋"/>
          <w:sz w:val="32"/>
          <w:szCs w:val="32"/>
          <w:lang w:val="en-US" w:eastAsia="zh-CN" w:bidi="ar-SA"/>
        </w:rPr>
        <w:t>乡村振兴</w:t>
      </w:r>
      <w:r>
        <w:rPr>
          <w:rFonts w:hint="eastAsia" w:ascii="仿宋" w:eastAsia="仿宋" w:cs="仿宋"/>
          <w:sz w:val="32"/>
          <w:szCs w:val="32"/>
          <w:lang w:bidi="ar-SA"/>
        </w:rPr>
        <w:t>目标能否如期实现，关系到当地党执政的群众基础能否巩固和加强，意义重大而深远。</w:t>
      </w:r>
    </w:p>
    <w:p>
      <w:pPr>
        <w:kinsoku/>
        <w:wordWrap/>
        <w:overflowPunct/>
        <w:topLinePunct w:val="0"/>
        <w:autoSpaceDE/>
        <w:autoSpaceDN/>
        <w:bidi w:val="0"/>
        <w:spacing w:line="500" w:lineRule="exact"/>
        <w:ind w:left="0" w:firstLine="640" w:firstLineChars="200"/>
        <w:rPr>
          <w:color w:val="auto"/>
          <w:sz w:val="32"/>
          <w:szCs w:val="32"/>
        </w:rPr>
      </w:pPr>
      <w:r>
        <w:rPr>
          <w:rFonts w:hint="eastAsia" w:ascii="仿宋" w:eastAsia="仿宋" w:cs="仿宋"/>
          <w:sz w:val="32"/>
          <w:szCs w:val="32"/>
          <w:lang w:bidi="ar-SA"/>
        </w:rPr>
        <w:t>同时，项目建设可加快完善</w:t>
      </w:r>
      <w:r>
        <w:rPr>
          <w:rFonts w:hint="eastAsia" w:ascii="仿宋" w:eastAsia="仿宋" w:cs="仿宋"/>
          <w:sz w:val="32"/>
          <w:szCs w:val="32"/>
          <w:lang w:val="en-US" w:eastAsia="zh-CN" w:bidi="ar-SA"/>
        </w:rPr>
        <w:t>二工镇</w:t>
      </w:r>
      <w:r>
        <w:rPr>
          <w:rFonts w:hint="eastAsia" w:ascii="仿宋" w:eastAsia="仿宋" w:cs="仿宋"/>
          <w:sz w:val="32"/>
          <w:szCs w:val="32"/>
          <w:lang w:bidi="ar-SA"/>
        </w:rPr>
        <w:t>农村基础服务设施，</w:t>
      </w:r>
      <w:r>
        <w:rPr>
          <w:rFonts w:hint="eastAsia" w:ascii="仿宋" w:eastAsia="仿宋" w:cs="仿宋"/>
          <w:sz w:val="32"/>
          <w:szCs w:val="32"/>
          <w:lang w:val="en-US" w:eastAsia="zh-CN" w:bidi="ar-SA"/>
        </w:rPr>
        <w:t>大力发展养殖业，增加社区集体经济，</w:t>
      </w:r>
      <w:r>
        <w:rPr>
          <w:rFonts w:hint="eastAsia" w:ascii="仿宋" w:eastAsia="仿宋" w:cs="仿宋"/>
          <w:sz w:val="32"/>
          <w:szCs w:val="32"/>
          <w:lang w:bidi="ar-SA"/>
        </w:rPr>
        <w:t>改善项目区农村环境，加快推进美丽乡村建设，以人文本，为民办事，产生良好的社会效益。</w:t>
      </w:r>
    </w:p>
    <w:p>
      <w:pPr>
        <w:pStyle w:val="25"/>
        <w:spacing w:line="500" w:lineRule="exact"/>
        <w:ind w:firstLine="0" w:firstLineChars="0"/>
        <w:outlineLvl w:val="0"/>
        <w:rPr>
          <w:rFonts w:hint="eastAsia" w:ascii="黑体" w:hAnsi="黑体" w:eastAsia="黑体" w:cs="黑体"/>
          <w:b w:val="0"/>
          <w:bCs w:val="0"/>
          <w:sz w:val="32"/>
          <w:szCs w:val="32"/>
        </w:rPr>
      </w:pPr>
      <w:bookmarkStart w:id="36" w:name="_Toc1589"/>
      <w:bookmarkStart w:id="37" w:name="_Toc2890"/>
      <w:r>
        <w:rPr>
          <w:rFonts w:hint="eastAsia" w:ascii="黑体" w:hAnsi="黑体" w:eastAsia="黑体" w:cs="黑体"/>
          <w:b w:val="0"/>
          <w:bCs w:val="0"/>
          <w:sz w:val="32"/>
          <w:szCs w:val="32"/>
        </w:rPr>
        <w:t>3.设计或技术方案</w:t>
      </w:r>
      <w:bookmarkEnd w:id="36"/>
      <w:bookmarkEnd w:id="37"/>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38" w:name="_Toc9120"/>
      <w:bookmarkStart w:id="39" w:name="_Toc4206"/>
      <w:r>
        <w:rPr>
          <w:rFonts w:hint="eastAsia" w:ascii="楷体_GB2312" w:hAnsi="楷体_GB2312" w:eastAsia="楷体_GB2312" w:cs="楷体_GB2312"/>
          <w:sz w:val="32"/>
          <w:szCs w:val="32"/>
          <w:lang w:val="en-US" w:eastAsia="zh-CN"/>
        </w:rPr>
        <w:t>3.1项目设计（技术依据）</w:t>
      </w:r>
      <w:bookmarkEnd w:id="38"/>
      <w:bookmarkEnd w:id="39"/>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1、《民用建筑设计</w:t>
      </w:r>
      <w:r>
        <w:rPr>
          <w:rFonts w:hint="eastAsia" w:ascii="仿宋" w:eastAsia="仿宋" w:cs="仿宋"/>
          <w:sz w:val="32"/>
          <w:szCs w:val="32"/>
          <w:lang w:eastAsia="zh-CN" w:bidi="ar-SA"/>
        </w:rPr>
        <w:t>统一标准</w:t>
      </w:r>
      <w:r>
        <w:rPr>
          <w:rFonts w:hint="eastAsia" w:ascii="仿宋" w:eastAsia="仿宋" w:cs="仿宋"/>
          <w:sz w:val="32"/>
          <w:szCs w:val="32"/>
          <w:lang w:bidi="ar-SA"/>
        </w:rPr>
        <w:t>》GB50352。</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2、《工程建设标准强制性条文》（房屋建筑部分）。</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3、《建筑设计防火规范》GB50016。</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4、《建筑抗震设计规范》GB50011。</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5、《建筑结构可靠</w:t>
      </w:r>
      <w:r>
        <w:rPr>
          <w:rFonts w:hint="eastAsia" w:ascii="仿宋" w:eastAsia="仿宋" w:cs="仿宋"/>
          <w:sz w:val="32"/>
          <w:szCs w:val="32"/>
          <w:lang w:eastAsia="zh-CN" w:bidi="ar-SA"/>
        </w:rPr>
        <w:t>性</w:t>
      </w:r>
      <w:r>
        <w:rPr>
          <w:rFonts w:hint="eastAsia" w:ascii="仿宋" w:eastAsia="仿宋" w:cs="仿宋"/>
          <w:sz w:val="32"/>
          <w:szCs w:val="32"/>
          <w:lang w:bidi="ar-SA"/>
        </w:rPr>
        <w:t>设计统一标准》GB50068。</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6、《建筑结构荷载规范》GB50009。</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7、《砌体结构设计规范》GB50003。</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8、《混凝土结构设计规范》GB50010。</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9、《建筑地基基础设计规范》GB50007。</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10、《建筑地基处理技术规范》JGJ79。</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11、《办公建筑设计规范》JGJ67。</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12、《公共建筑节能设计标准新疆实施细则》XJJ034。</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13、《建筑灭火器配置设计规范》GB50140。</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val="en-US" w:eastAsia="zh-CN" w:bidi="ar-SA"/>
        </w:rPr>
        <w:t>14、</w:t>
      </w:r>
      <w:r>
        <w:rPr>
          <w:rFonts w:hint="eastAsia" w:ascii="仿宋" w:eastAsia="仿宋" w:cs="仿宋"/>
          <w:sz w:val="32"/>
          <w:szCs w:val="32"/>
          <w:lang w:bidi="ar-SA"/>
        </w:rPr>
        <w:t>《建筑照明设计标准》GB50034。</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0" w:name="_Toc18362"/>
      <w:bookmarkStart w:id="41" w:name="_Toc25068"/>
      <w:r>
        <w:rPr>
          <w:rFonts w:hint="eastAsia" w:ascii="楷体_GB2312" w:hAnsi="楷体_GB2312" w:eastAsia="楷体_GB2312" w:cs="楷体_GB2312"/>
          <w:sz w:val="32"/>
          <w:szCs w:val="32"/>
          <w:lang w:val="en-US" w:eastAsia="zh-CN"/>
        </w:rPr>
        <w:t>3.2建设内容、规模、标准、投资设计等明细资料</w:t>
      </w:r>
      <w:bookmarkEnd w:id="40"/>
      <w:bookmarkEnd w:id="41"/>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计划本项目总投资395万，在天羊牧业园区建设5座800平方米的圈舍及配套设施，用于铁列克社区、南湖社区、南山社区、也克苏社区、园艺社区发展本村畜牧业，固定资产收益由村集体收益</w:t>
      </w:r>
    </w:p>
    <w:p>
      <w:pPr>
        <w:spacing w:after="0" w:line="518" w:lineRule="exact"/>
        <w:ind w:right="146" w:firstLine="640" w:firstLineChars="200"/>
        <w:jc w:val="both"/>
        <w:rPr>
          <w:rFonts w:hint="default" w:ascii="仿宋" w:hAnsi="仿宋" w:eastAsia="仿宋" w:cs="仿宋"/>
          <w:color w:val="auto"/>
          <w:sz w:val="32"/>
          <w:szCs w:val="32"/>
          <w:lang w:val="en-US" w:eastAsia="zh-CN"/>
        </w:rPr>
      </w:pPr>
      <w:r>
        <w:rPr>
          <w:rFonts w:hint="eastAsia" w:ascii="仿宋" w:eastAsia="仿宋" w:cs="仿宋"/>
          <w:color w:val="auto"/>
          <w:sz w:val="32"/>
          <w:szCs w:val="32"/>
          <w:lang w:bidi="ar-SA"/>
        </w:rPr>
        <w:t>项目资金来源：</w:t>
      </w:r>
      <w:r>
        <w:rPr>
          <w:rFonts w:hint="eastAsia" w:ascii="仿宋" w:eastAsia="仿宋" w:cs="仿宋"/>
          <w:color w:val="auto"/>
          <w:sz w:val="32"/>
          <w:szCs w:val="32"/>
          <w:lang w:eastAsia="zh-CN" w:bidi="ar-SA"/>
        </w:rPr>
        <w:t>项目总投资</w:t>
      </w:r>
      <w:r>
        <w:rPr>
          <w:rFonts w:hint="eastAsia" w:ascii="仿宋" w:eastAsia="仿宋" w:cs="仿宋"/>
          <w:color w:val="auto"/>
          <w:sz w:val="32"/>
          <w:szCs w:val="32"/>
          <w:lang w:val="en-US" w:eastAsia="zh-CN" w:bidi="ar-SA"/>
        </w:rPr>
        <w:t>395万</w:t>
      </w:r>
      <w:r>
        <w:rPr>
          <w:rFonts w:hint="eastAsia" w:ascii="仿宋" w:eastAsia="仿宋" w:cs="仿宋"/>
          <w:color w:val="auto"/>
          <w:sz w:val="32"/>
          <w:szCs w:val="32"/>
          <w:lang w:eastAsia="zh-CN" w:bidi="ar-SA"/>
        </w:rPr>
        <w:t>元</w:t>
      </w:r>
      <w:r>
        <w:rPr>
          <w:rFonts w:hint="eastAsia" w:ascii="仿宋" w:eastAsia="仿宋" w:cs="仿宋"/>
          <w:color w:val="auto"/>
          <w:sz w:val="32"/>
          <w:szCs w:val="32"/>
          <w:lang w:bidi="ar-SA"/>
        </w:rPr>
        <w:t>，</w:t>
      </w:r>
      <w:r>
        <w:rPr>
          <w:rFonts w:hint="eastAsia" w:ascii="仿宋" w:eastAsia="仿宋" w:cs="仿宋"/>
          <w:color w:val="auto"/>
          <w:sz w:val="32"/>
          <w:szCs w:val="32"/>
          <w:lang w:eastAsia="zh-CN" w:bidi="ar-SA"/>
        </w:rPr>
        <w:t>少数民族发展资金377万元、中央提前下达财政衔接推进乡村振兴补助资金18万元。</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42" w:name="_Toc29785"/>
      <w:bookmarkStart w:id="43" w:name="_Toc2963"/>
      <w:r>
        <w:rPr>
          <w:rFonts w:hint="eastAsia" w:ascii="黑体" w:hAnsi="黑体" w:eastAsia="黑体" w:cs="黑体"/>
          <w:b w:val="0"/>
          <w:bCs w:val="0"/>
          <w:sz w:val="32"/>
          <w:szCs w:val="32"/>
          <w:lang w:val="en-US" w:eastAsia="zh-CN"/>
        </w:rPr>
        <w:t>4.投资概算和资金筹措</w:t>
      </w:r>
      <w:bookmarkEnd w:id="42"/>
      <w:bookmarkEnd w:id="43"/>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4" w:name="_Toc17126"/>
      <w:bookmarkStart w:id="45" w:name="_Toc10349"/>
      <w:r>
        <w:rPr>
          <w:rFonts w:hint="eastAsia" w:ascii="楷体_GB2312" w:hAnsi="楷体_GB2312" w:eastAsia="楷体_GB2312" w:cs="楷体_GB2312"/>
          <w:sz w:val="32"/>
          <w:szCs w:val="32"/>
          <w:lang w:val="en-US" w:eastAsia="zh-CN"/>
        </w:rPr>
        <w:t>4.1项目总投资</w:t>
      </w:r>
      <w:bookmarkEnd w:id="44"/>
      <w:bookmarkEnd w:id="45"/>
    </w:p>
    <w:p>
      <w:pPr>
        <w:pStyle w:val="25"/>
        <w:spacing w:line="500" w:lineRule="exact"/>
        <w:ind w:firstLine="640" w:firstLineChars="200"/>
        <w:outlineLvl w:val="1"/>
        <w:rPr>
          <w:rFonts w:hint="eastAsia" w:ascii="仿宋" w:hAnsi="仿宋" w:eastAsia="仿宋" w:cs="仿宋"/>
          <w:sz w:val="32"/>
          <w:szCs w:val="32"/>
          <w:lang w:val="en-US" w:eastAsia="zh-CN" w:bidi="ar-SA"/>
        </w:rPr>
      </w:pPr>
      <w:bookmarkStart w:id="46" w:name="_Toc28195"/>
      <w:bookmarkStart w:id="47" w:name="_Toc13874"/>
      <w:r>
        <w:rPr>
          <w:rFonts w:hint="eastAsia" w:ascii="仿宋" w:hAnsi="仿宋" w:eastAsia="仿宋" w:cs="仿宋"/>
          <w:sz w:val="32"/>
          <w:szCs w:val="32"/>
          <w:lang w:val="en-US" w:eastAsia="zh-CN" w:bidi="ar-SA"/>
        </w:rPr>
        <w:t>本项目总投资395万元，其中：建筑安装工程费用378.3万元，占项目总投资的97%；前期预备费用11.7万元，占项目总投资的3%。</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4.2项目概算</w:t>
      </w:r>
      <w:bookmarkEnd w:id="46"/>
      <w:bookmarkEnd w:id="47"/>
    </w:p>
    <w:tbl>
      <w:tblPr>
        <w:tblStyle w:val="18"/>
        <w:tblW w:w="5025" w:type="pct"/>
        <w:jc w:val="center"/>
        <w:tblLayout w:type="autofit"/>
        <w:tblCellMar>
          <w:top w:w="0" w:type="dxa"/>
          <w:left w:w="0" w:type="dxa"/>
          <w:bottom w:w="0" w:type="dxa"/>
          <w:right w:w="0" w:type="dxa"/>
        </w:tblCellMar>
      </w:tblPr>
      <w:tblGrid>
        <w:gridCol w:w="412"/>
        <w:gridCol w:w="1515"/>
        <w:gridCol w:w="984"/>
        <w:gridCol w:w="877"/>
        <w:gridCol w:w="880"/>
        <w:gridCol w:w="877"/>
        <w:gridCol w:w="722"/>
        <w:gridCol w:w="453"/>
        <w:gridCol w:w="453"/>
        <w:gridCol w:w="1205"/>
      </w:tblGrid>
      <w:tr>
        <w:tblPrEx>
          <w:tblCellMar>
            <w:top w:w="0" w:type="dxa"/>
            <w:left w:w="0" w:type="dxa"/>
            <w:bottom w:w="0" w:type="dxa"/>
            <w:right w:w="0" w:type="dxa"/>
          </w:tblCellMar>
        </w:tblPrEx>
        <w:trPr>
          <w:trHeight w:val="414" w:hRule="atLeast"/>
          <w:jc w:val="center"/>
        </w:trPr>
        <w:tc>
          <w:tcPr>
            <w:tcW w:w="246"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序</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p>
        </w:tc>
        <w:tc>
          <w:tcPr>
            <w:tcW w:w="2589" w:type="pct"/>
            <w:gridSpan w:val="5"/>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估   算  价  值  (万元)</w:t>
            </w:r>
          </w:p>
        </w:tc>
        <w:tc>
          <w:tcPr>
            <w:tcW w:w="1259" w:type="pct"/>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技 术 经 济 指 标</w:t>
            </w:r>
          </w:p>
        </w:tc>
      </w:tr>
      <w:tr>
        <w:tblPrEx>
          <w:tblCellMar>
            <w:top w:w="0" w:type="dxa"/>
            <w:left w:w="0" w:type="dxa"/>
            <w:bottom w:w="0" w:type="dxa"/>
            <w:right w:w="0" w:type="dxa"/>
          </w:tblCellMar>
        </w:tblPrEx>
        <w:trPr>
          <w:trHeight w:val="309" w:hRule="atLeast"/>
          <w:jc w:val="center"/>
        </w:trPr>
        <w:tc>
          <w:tcPr>
            <w:tcW w:w="246" w:type="pct"/>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号</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工程或费用名程</w:t>
            </w:r>
          </w:p>
        </w:tc>
        <w:tc>
          <w:tcPr>
            <w:tcW w:w="587" w:type="pct"/>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建 筑</w:t>
            </w:r>
            <w:r>
              <w:rPr>
                <w:rFonts w:hint="eastAsia" w:ascii="仿宋_GB2312" w:hAnsi="仿宋_GB2312" w:eastAsia="仿宋_GB2312" w:cs="仿宋_GB2312"/>
                <w:color w:val="auto"/>
                <w:kern w:val="0"/>
                <w:sz w:val="21"/>
                <w:szCs w:val="21"/>
                <w:lang w:eastAsia="zh-CN" w:bidi="ar"/>
              </w:rPr>
              <w:t>工程</w:t>
            </w:r>
          </w:p>
        </w:tc>
        <w:tc>
          <w:tcPr>
            <w:tcW w:w="523"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设备</w:t>
            </w:r>
            <w:r>
              <w:rPr>
                <w:rFonts w:hint="eastAsia" w:ascii="仿宋_GB2312" w:hAnsi="仿宋_GB2312" w:eastAsia="仿宋_GB2312" w:cs="仿宋_GB2312"/>
                <w:color w:val="auto"/>
                <w:kern w:val="0"/>
                <w:sz w:val="21"/>
                <w:szCs w:val="21"/>
                <w:lang w:eastAsia="zh-CN" w:bidi="ar"/>
              </w:rPr>
              <w:t>购置</w:t>
            </w:r>
          </w:p>
        </w:tc>
        <w:tc>
          <w:tcPr>
            <w:tcW w:w="525" w:type="pct"/>
            <w:tcBorders>
              <w:top w:val="single" w:color="000000" w:sz="4" w:space="0"/>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安装</w:t>
            </w:r>
            <w:r>
              <w:rPr>
                <w:rFonts w:hint="eastAsia" w:ascii="仿宋_GB2312" w:hAnsi="仿宋_GB2312" w:eastAsia="仿宋_GB2312" w:cs="仿宋_GB2312"/>
                <w:color w:val="auto"/>
                <w:kern w:val="0"/>
                <w:sz w:val="21"/>
                <w:szCs w:val="21"/>
                <w:lang w:eastAsia="zh-CN" w:bidi="ar"/>
              </w:rPr>
              <w:t>工程</w:t>
            </w:r>
          </w:p>
        </w:tc>
        <w:tc>
          <w:tcPr>
            <w:tcW w:w="523" w:type="pct"/>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其他费用</w:t>
            </w:r>
          </w:p>
        </w:tc>
        <w:tc>
          <w:tcPr>
            <w:tcW w:w="430"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合计</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单位</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数量</w:t>
            </w: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指 标（元）</w:t>
            </w:r>
          </w:p>
        </w:tc>
      </w:tr>
      <w:tr>
        <w:tblPrEx>
          <w:tblCellMar>
            <w:top w:w="0" w:type="dxa"/>
            <w:left w:w="0" w:type="dxa"/>
            <w:bottom w:w="0" w:type="dxa"/>
            <w:right w:w="0" w:type="dxa"/>
          </w:tblCellMar>
        </w:tblPrEx>
        <w:trPr>
          <w:trHeight w:val="414" w:hRule="atLeast"/>
          <w:jc w:val="center"/>
        </w:trPr>
        <w:tc>
          <w:tcPr>
            <w:tcW w:w="246" w:type="pct"/>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sz w:val="21"/>
                <w:szCs w:val="21"/>
                <w:lang w:bidi="ar-SA"/>
              </w:rPr>
            </w:pPr>
            <w:r>
              <w:rPr>
                <w:rFonts w:hint="eastAsia" w:ascii="仿宋_GB2312" w:hAnsi="仿宋_GB2312" w:eastAsia="仿宋_GB2312" w:cs="仿宋_GB2312"/>
                <w:b/>
                <w:color w:val="auto"/>
                <w:kern w:val="0"/>
                <w:sz w:val="21"/>
                <w:szCs w:val="21"/>
                <w:lang w:bidi="ar"/>
              </w:rPr>
              <w:t>I</w:t>
            </w:r>
          </w:p>
        </w:tc>
        <w:tc>
          <w:tcPr>
            <w:tcW w:w="904" w:type="pct"/>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sz w:val="21"/>
                <w:szCs w:val="21"/>
                <w:lang w:bidi="ar-SA"/>
              </w:rPr>
            </w:pPr>
            <w:r>
              <w:rPr>
                <w:rFonts w:hint="eastAsia" w:ascii="仿宋_GB2312" w:hAnsi="仿宋_GB2312" w:eastAsia="仿宋_GB2312" w:cs="仿宋_GB2312"/>
                <w:b/>
                <w:color w:val="auto"/>
                <w:kern w:val="0"/>
                <w:sz w:val="21"/>
                <w:szCs w:val="21"/>
                <w:lang w:bidi="ar"/>
              </w:rPr>
              <w:t>工程费用</w:t>
            </w:r>
          </w:p>
        </w:tc>
        <w:tc>
          <w:tcPr>
            <w:tcW w:w="5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sz w:val="21"/>
                <w:szCs w:val="21"/>
                <w:lang w:val="en-US" w:eastAsia="zh-CN"/>
              </w:rPr>
            </w:pPr>
            <w:r>
              <w:rPr>
                <w:rFonts w:hint="eastAsia" w:ascii="仿宋_GB2312" w:hAnsi="仿宋_GB2312" w:eastAsia="仿宋_GB2312" w:cs="仿宋_GB2312"/>
                <w:b/>
                <w:color w:val="auto"/>
                <w:kern w:val="0"/>
                <w:sz w:val="21"/>
                <w:szCs w:val="21"/>
                <w:lang w:val="en-US" w:eastAsia="zh-CN" w:bidi="ar"/>
              </w:rPr>
              <w:t>378.3</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r>
      <w:tr>
        <w:tblPrEx>
          <w:tblCellMar>
            <w:top w:w="0" w:type="dxa"/>
            <w:left w:w="0" w:type="dxa"/>
            <w:bottom w:w="0" w:type="dxa"/>
            <w:right w:w="0" w:type="dxa"/>
          </w:tblCellMar>
        </w:tblPrEx>
        <w:trPr>
          <w:trHeight w:val="414" w:hRule="atLeast"/>
          <w:jc w:val="center"/>
        </w:trPr>
        <w:tc>
          <w:tcPr>
            <w:tcW w:w="2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kern w:val="0"/>
                <w:sz w:val="21"/>
                <w:szCs w:val="21"/>
                <w:lang w:bidi="ar"/>
              </w:rPr>
              <w:t>工程建设其他费</w:t>
            </w:r>
          </w:p>
        </w:tc>
        <w:tc>
          <w:tcPr>
            <w:tcW w:w="163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kern w:val="2"/>
                <w:sz w:val="21"/>
                <w:szCs w:val="21"/>
                <w:lang w:val="en-US" w:eastAsia="zh-CN" w:bidi="ar-SA"/>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sz w:val="21"/>
                <w:szCs w:val="21"/>
                <w:lang w:val="en-US" w:eastAsia="zh-CN"/>
              </w:rPr>
              <w:t>11.7</w:t>
            </w: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sz w:val="21"/>
                <w:szCs w:val="21"/>
                <w:lang w:val="en-US" w:eastAsia="zh-CN"/>
              </w:rPr>
              <w:t>11.7</w:t>
            </w:r>
          </w:p>
        </w:tc>
        <w:tc>
          <w:tcPr>
            <w:tcW w:w="270"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kern w:val="2"/>
                <w:sz w:val="21"/>
                <w:szCs w:val="21"/>
                <w:lang w:val="en-US" w:eastAsia="zh-CN" w:bidi="ar-SA"/>
              </w:rPr>
            </w:pPr>
          </w:p>
        </w:tc>
        <w:tc>
          <w:tcPr>
            <w:tcW w:w="270" w:type="pct"/>
            <w:tcBorders>
              <w:top w:val="single" w:color="000000" w:sz="4" w:space="0"/>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p>
        </w:tc>
        <w:tc>
          <w:tcPr>
            <w:tcW w:w="718"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437" w:hRule="atLeast"/>
          <w:jc w:val="center"/>
        </w:trPr>
        <w:tc>
          <w:tcPr>
            <w:tcW w:w="2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bidi="ar"/>
              </w:rPr>
              <w:t>Ⅳ</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bidi="ar"/>
              </w:rPr>
              <w:t>建设项目总投资</w:t>
            </w:r>
          </w:p>
        </w:tc>
        <w:tc>
          <w:tcPr>
            <w:tcW w:w="163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val="en-US" w:eastAsia="zh-CN" w:bidi="ar"/>
              </w:rPr>
              <w:t>390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r>
    </w:tbl>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8" w:name="_Toc27363"/>
      <w:bookmarkStart w:id="49" w:name="_Toc19236"/>
      <w:r>
        <w:rPr>
          <w:rFonts w:hint="eastAsia" w:ascii="楷体_GB2312" w:hAnsi="楷体_GB2312" w:eastAsia="楷体_GB2312" w:cs="楷体_GB2312"/>
          <w:sz w:val="32"/>
          <w:szCs w:val="32"/>
          <w:lang w:val="en-US" w:eastAsia="zh-CN"/>
        </w:rPr>
        <w:t>4.3资金筹措</w:t>
      </w:r>
      <w:bookmarkEnd w:id="48"/>
      <w:bookmarkEnd w:id="49"/>
    </w:p>
    <w:p>
      <w:pPr>
        <w:kinsoku/>
        <w:wordWrap/>
        <w:overflowPunct/>
        <w:topLinePunct w:val="0"/>
        <w:autoSpaceDE/>
        <w:autoSpaceDN/>
        <w:bidi w:val="0"/>
        <w:spacing w:line="500" w:lineRule="exact"/>
        <w:ind w:left="0" w:firstLine="640" w:firstLineChars="200"/>
        <w:rPr>
          <w:rFonts w:hint="eastAsia" w:ascii="仿宋" w:hAnsi="仿宋" w:eastAsia="仿宋" w:cs="仿宋"/>
          <w:b/>
          <w:bCs/>
          <w:sz w:val="32"/>
          <w:szCs w:val="32"/>
          <w:lang w:eastAsia="zh-CN"/>
        </w:rPr>
      </w:pPr>
      <w:r>
        <w:rPr>
          <w:rFonts w:hint="eastAsia" w:ascii="仿宋" w:eastAsia="仿宋" w:cs="仿宋"/>
          <w:color w:val="auto"/>
          <w:sz w:val="32"/>
          <w:szCs w:val="32"/>
          <w:lang w:eastAsia="zh-CN" w:bidi="ar-SA"/>
        </w:rPr>
        <w:t>项目资金来源：项目总投资</w:t>
      </w:r>
      <w:r>
        <w:rPr>
          <w:rFonts w:hint="eastAsia" w:ascii="仿宋" w:eastAsia="仿宋" w:cs="仿宋"/>
          <w:color w:val="auto"/>
          <w:sz w:val="32"/>
          <w:szCs w:val="32"/>
          <w:lang w:val="en-US" w:eastAsia="zh-CN" w:bidi="ar-SA"/>
        </w:rPr>
        <w:t>395万</w:t>
      </w:r>
      <w:r>
        <w:rPr>
          <w:rFonts w:hint="eastAsia" w:ascii="仿宋" w:eastAsia="仿宋" w:cs="仿宋"/>
          <w:color w:val="auto"/>
          <w:sz w:val="32"/>
          <w:szCs w:val="32"/>
          <w:lang w:eastAsia="zh-CN" w:bidi="ar-SA"/>
        </w:rPr>
        <w:t>元，少数民族发展资金377万元、中央提前下达财政衔接推进乡村振兴补助资金18万元。</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0" w:name="_Toc24259"/>
      <w:bookmarkStart w:id="51" w:name="_Toc24804"/>
      <w:r>
        <w:rPr>
          <w:rFonts w:hint="eastAsia" w:ascii="楷体_GB2312" w:hAnsi="楷体_GB2312" w:eastAsia="楷体_GB2312" w:cs="楷体_GB2312"/>
          <w:sz w:val="32"/>
          <w:szCs w:val="32"/>
          <w:lang w:val="en-US" w:eastAsia="zh-CN"/>
        </w:rPr>
        <w:t>4.4资金使用和管理</w:t>
      </w:r>
      <w:bookmarkEnd w:id="50"/>
      <w:bookmarkEnd w:id="51"/>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一是二工镇财政严格按照专项资金管理和使用，资金管理、会计核算、财务审批制度健全，资金支出程序规范。二是严把财务审批关，按要求准备相关报账资料，对不能提供资料的项目，延缓报账期限；三是严格落实乡财县管乡用原则，规范使用资金，严禁私自改变项目资金用途；四是项目启动后，具体明确技术人员和工程管理人员及工程监理人员，确保项目进度和质量，使项目达到预期的效果。</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在市级有关部门的指导和镇人民政府统一管理下，项目实施坚持因地制宜，区别情况，实地调研，确定切实可行的方案，镇党委、政府及时成立项目管理领导小组，指定专人负责跑办项目前期资料，确保项目资金落地后，按时组织实施；严格落实项目招投标程序，项目建成或实施完毕后，项目单位应及时按规定报请县级有关部门组织审计和备案工作；项目完成验收后，及时将产权移交所在社区居委会，并成立项目后期运行管理领导小组。</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2" w:name="_Toc13257"/>
      <w:bookmarkStart w:id="53" w:name="_Toc21556"/>
      <w:r>
        <w:rPr>
          <w:rFonts w:hint="eastAsia" w:ascii="楷体_GB2312" w:hAnsi="楷体_GB2312" w:eastAsia="楷体_GB2312" w:cs="楷体_GB2312"/>
          <w:sz w:val="32"/>
          <w:szCs w:val="32"/>
          <w:lang w:val="en-US" w:eastAsia="zh-CN"/>
        </w:rPr>
        <w:t>4.5资产移交要求</w:t>
      </w:r>
      <w:bookmarkEnd w:id="52"/>
      <w:bookmarkEnd w:id="53"/>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rPr>
      </w:pPr>
      <w:r>
        <w:rPr>
          <w:rFonts w:hint="eastAsia" w:ascii="仿宋" w:eastAsia="仿宋" w:cs="仿宋" w:hAnsiTheme="minorHAnsi"/>
          <w:color w:val="auto"/>
          <w:kern w:val="2"/>
          <w:sz w:val="32"/>
          <w:szCs w:val="32"/>
          <w:lang w:val="en-US" w:eastAsia="zh-CN" w:bidi="ar-SA"/>
        </w:rPr>
        <w:t>项目建设单位</w:t>
      </w:r>
      <w:r>
        <w:rPr>
          <w:rFonts w:hint="eastAsia" w:ascii="仿宋" w:eastAsia="仿宋" w:cs="仿宋"/>
          <w:color w:val="auto"/>
          <w:kern w:val="2"/>
          <w:sz w:val="32"/>
          <w:szCs w:val="32"/>
          <w:lang w:val="en-US" w:eastAsia="zh-CN" w:bidi="ar-SA"/>
        </w:rPr>
        <w:t>收到竣工验收后，应及时完成项目竣工财务决算和资产移交。其中：基建类项目应于3个月内完成相关工作，其他项目应于1个月内完成，形成资产的项目，应按照自治区项目资产后续管理要求，及时做好资产确权、资产交接、投入使用、后续管护、收益分配等工作。</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4" w:name="_Toc11231"/>
      <w:bookmarkStart w:id="55" w:name="_Toc28510"/>
      <w:r>
        <w:rPr>
          <w:rFonts w:hint="eastAsia" w:ascii="楷体_GB2312" w:hAnsi="楷体_GB2312" w:eastAsia="楷体_GB2312" w:cs="楷体_GB2312"/>
          <w:sz w:val="32"/>
          <w:szCs w:val="32"/>
          <w:lang w:val="en-US" w:eastAsia="zh-CN"/>
        </w:rPr>
        <w:t>4.6资金筹措</w:t>
      </w:r>
      <w:bookmarkEnd w:id="54"/>
      <w:bookmarkEnd w:id="55"/>
    </w:p>
    <w:p>
      <w:pPr>
        <w:spacing w:line="560" w:lineRule="exact"/>
        <w:ind w:firstLine="640" w:firstLineChars="200"/>
        <w:rPr>
          <w:rFonts w:hint="default" w:ascii="仿宋" w:eastAsia="仿宋" w:cs="仿宋"/>
          <w:color w:val="auto"/>
          <w:kern w:val="2"/>
          <w:sz w:val="32"/>
          <w:szCs w:val="32"/>
          <w:lang w:val="en-US" w:eastAsia="zh-CN" w:bidi="ar-SA"/>
        </w:rPr>
        <w:sectPr>
          <w:headerReference r:id="rId6" w:type="default"/>
          <w:footerReference r:id="rId7" w:type="default"/>
          <w:pgSz w:w="11900" w:h="16838"/>
          <w:pgMar w:top="1440" w:right="1797" w:bottom="1440" w:left="1797" w:header="850" w:footer="992" w:gutter="0"/>
          <w:pgNumType w:fmt="decimal"/>
          <w:cols w:space="0" w:num="1"/>
          <w:rtlGutter w:val="0"/>
          <w:docGrid w:linePitch="0" w:charSpace="0"/>
        </w:sectPr>
      </w:pPr>
      <w:r>
        <w:rPr>
          <w:rFonts w:hint="eastAsia" w:ascii="仿宋" w:hAnsi="仿宋" w:eastAsia="仿宋" w:cs="仿宋"/>
          <w:color w:val="auto"/>
          <w:sz w:val="32"/>
          <w:szCs w:val="32"/>
          <w:lang w:val="en-US" w:eastAsia="zh-CN"/>
        </w:rPr>
        <w:t>申请</w:t>
      </w:r>
      <w:r>
        <w:rPr>
          <w:rFonts w:hint="eastAsia" w:ascii="仿宋" w:eastAsia="仿宋" w:cs="仿宋"/>
          <w:color w:val="auto"/>
          <w:sz w:val="32"/>
          <w:szCs w:val="32"/>
          <w:lang w:eastAsia="zh-CN" w:bidi="ar-SA"/>
        </w:rPr>
        <w:t>少数民族发展资金377万元、中央提前下达财政衔接推进乡村振兴补助资金18万元</w:t>
      </w:r>
      <w:r>
        <w:rPr>
          <w:rFonts w:hint="eastAsia" w:ascii="仿宋" w:hAnsi="仿宋" w:eastAsia="仿宋" w:cs="仿宋"/>
          <w:color w:val="auto"/>
          <w:sz w:val="32"/>
          <w:szCs w:val="32"/>
          <w:lang w:val="en-US" w:eastAsia="zh-CN"/>
        </w:rPr>
        <w:t>。</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56" w:name="page31"/>
      <w:bookmarkEnd w:id="56"/>
      <w:bookmarkStart w:id="57" w:name="_Toc15192"/>
      <w:bookmarkStart w:id="58" w:name="_Toc3525"/>
      <w:r>
        <w:rPr>
          <w:rFonts w:hint="eastAsia" w:ascii="黑体" w:hAnsi="黑体" w:eastAsia="黑体" w:cs="黑体"/>
          <w:b w:val="0"/>
          <w:bCs w:val="0"/>
          <w:sz w:val="32"/>
          <w:szCs w:val="32"/>
          <w:lang w:val="en-US" w:eastAsia="zh-CN"/>
        </w:rPr>
        <w:t>5.项目实施保障措施</w:t>
      </w:r>
      <w:bookmarkEnd w:id="57"/>
      <w:bookmarkEnd w:id="58"/>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9" w:name="_Toc13641"/>
      <w:bookmarkStart w:id="60" w:name="_Toc20015"/>
      <w:r>
        <w:rPr>
          <w:rFonts w:hint="eastAsia" w:ascii="楷体_GB2312" w:hAnsi="楷体_GB2312" w:eastAsia="楷体_GB2312" w:cs="楷体_GB2312"/>
          <w:sz w:val="32"/>
          <w:szCs w:val="32"/>
          <w:lang w:val="en-US" w:eastAsia="zh-CN"/>
        </w:rPr>
        <w:t>5.1组织领导机构</w:t>
      </w:r>
      <w:bookmarkEnd w:id="59"/>
      <w:bookmarkEnd w:id="6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bidi="ar-SA"/>
        </w:rPr>
        <w:t>成立项目领导小组：为加强项目建设的组织、协调和领导，实行目标责任制，责任到人，确保项目的顺利建设。项目建设领导小组组成如下：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bidi="ar-SA"/>
        </w:rPr>
        <w:t>组  长：</w:t>
      </w:r>
      <w:r>
        <w:rPr>
          <w:rFonts w:hint="eastAsia" w:ascii="仿宋" w:eastAsia="仿宋" w:cs="仿宋"/>
          <w:b w:val="0"/>
          <w:bCs w:val="0"/>
          <w:sz w:val="32"/>
          <w:szCs w:val="32"/>
          <w:lang w:val="en-US" w:eastAsia="zh-CN" w:bidi="ar-SA"/>
        </w:rPr>
        <w:t>蔡宝军</w:t>
      </w:r>
      <w:r>
        <w:rPr>
          <w:rFonts w:hint="eastAsia" w:ascii="仿宋" w:eastAsia="仿宋" w:cs="仿宋"/>
          <w:b w:val="0"/>
          <w:bCs w:val="0"/>
          <w:sz w:val="32"/>
          <w:szCs w:val="32"/>
          <w:lang w:bidi="ar-SA"/>
        </w:rPr>
        <w:t xml:space="preserve">    党委书记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val="en-US" w:eastAsia="zh-CN" w:bidi="ar-SA"/>
        </w:rPr>
        <w:t>刘江涛</w:t>
      </w:r>
      <w:r>
        <w:rPr>
          <w:rFonts w:hint="eastAsia" w:ascii="仿宋" w:eastAsia="仿宋" w:cs="仿宋"/>
          <w:b w:val="0"/>
          <w:bCs w:val="0"/>
          <w:sz w:val="32"/>
          <w:szCs w:val="32"/>
          <w:lang w:bidi="ar-SA"/>
        </w:rPr>
        <w:t xml:space="preserve">    党委副书记、</w:t>
      </w:r>
      <w:r>
        <w:rPr>
          <w:rFonts w:hint="eastAsia" w:ascii="仿宋" w:eastAsia="仿宋" w:cs="仿宋"/>
          <w:b w:val="0"/>
          <w:bCs w:val="0"/>
          <w:sz w:val="32"/>
          <w:szCs w:val="32"/>
          <w:lang w:val="en-US" w:eastAsia="zh-CN" w:bidi="ar-SA"/>
        </w:rPr>
        <w:t>镇长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bidi="ar-SA"/>
        </w:rPr>
        <w:t>副组长：</w:t>
      </w:r>
      <w:r>
        <w:rPr>
          <w:rFonts w:hint="eastAsia" w:ascii="仿宋" w:eastAsia="仿宋" w:cs="仿宋"/>
          <w:b w:val="0"/>
          <w:bCs w:val="0"/>
          <w:sz w:val="32"/>
          <w:szCs w:val="32"/>
          <w:lang w:val="en-US" w:eastAsia="zh-CN" w:bidi="ar-SA"/>
        </w:rPr>
        <w:t>哈依沙尔  党委委员、人大主席</w:t>
      </w:r>
    </w:p>
    <w:p>
      <w:pPr>
        <w:pStyle w:val="4"/>
        <w:numPr>
          <w:ilvl w:val="1"/>
          <w:numId w:val="0"/>
        </w:numPr>
        <w:tabs>
          <w:tab w:val="clear" w:pos="0"/>
        </w:tabs>
        <w:ind w:leftChars="0"/>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许能成    党委副书记</w:t>
      </w:r>
    </w:p>
    <w:p>
      <w:pPr>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马  坚    党委副书记、统战委员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张  翔    党委委员、纪委书记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default"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葛春伟    党委委员、武装部长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李玉岭    党委委员、组织委员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宋瑞琪    党委委员、宣传委员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default"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宋红星    政府副镇长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帕尔哈提</w:t>
      </w:r>
      <w:r>
        <w:rPr>
          <w:rFonts w:hint="eastAsia" w:ascii="仿宋" w:eastAsia="仿宋" w:cs="仿宋"/>
          <w:b w:val="0"/>
          <w:bCs w:val="0"/>
          <w:sz w:val="32"/>
          <w:szCs w:val="32"/>
          <w:lang w:bidi="ar-SA"/>
        </w:rPr>
        <w:t xml:space="preserve">  </w:t>
      </w:r>
      <w:r>
        <w:rPr>
          <w:rFonts w:hint="eastAsia" w:ascii="仿宋" w:eastAsia="仿宋" w:cs="仿宋"/>
          <w:b w:val="0"/>
          <w:bCs w:val="0"/>
          <w:sz w:val="32"/>
          <w:szCs w:val="32"/>
          <w:lang w:val="en-US" w:eastAsia="zh-CN" w:bidi="ar-SA"/>
        </w:rPr>
        <w:t>政府副镇长</w:t>
      </w:r>
    </w:p>
    <w:p>
      <w:pPr>
        <w:pStyle w:val="4"/>
        <w:numPr>
          <w:ilvl w:val="1"/>
          <w:numId w:val="0"/>
        </w:numPr>
        <w:tabs>
          <w:tab w:val="clear" w:pos="0"/>
        </w:tabs>
        <w:ind w:leftChars="0"/>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杨旭辉    政府副镇长</w:t>
      </w:r>
    </w:p>
    <w:p>
      <w:pPr>
        <w:rPr>
          <w:rFonts w:hint="default"/>
          <w:sz w:val="32"/>
          <w:szCs w:val="32"/>
          <w:lang w:val="en-US" w:eastAsia="zh-CN"/>
        </w:rPr>
      </w:pPr>
      <w:r>
        <w:rPr>
          <w:rFonts w:hint="eastAsia" w:ascii="仿宋" w:eastAsia="仿宋" w:cs="仿宋"/>
          <w:b w:val="0"/>
          <w:bCs w:val="0"/>
          <w:sz w:val="32"/>
          <w:szCs w:val="32"/>
          <w:lang w:val="en-US" w:eastAsia="zh-CN" w:bidi="ar-SA"/>
        </w:rPr>
        <w:t xml:space="preserve">            马忠明    主任科员</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5.2保障措施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1、制定考核目标</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制定和完善项目资金、物质和技术规范等日常管理制度，形成项目申报、组织、实施、验收、评价的全程管理机制。严格执行基本建设程序，按照相关规定落实项目法人制，强化验收程序，确保实现项目质量、进度和投资目标。推行项目公示制度，将国家政策、投资标准、建设内容等纳入项目实施区域的政务公开内容，增强项目运作的透明度，确保职工干部的知情权、参与权、监督权，提高广大群众参与项目管理和建设的积极性。坚持目标、任务、资金、责任“四到位”的原则，层层签订目标责任书，确保工程建设项目顺利推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2、工程保障措施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坚持按项目设计，按设计施工，按标准检查验收的原则，制定工程管理办法，建立健全各项规章制度。项目建设领导小组管理办公室设置专门的工程技术指导和质量监督机构，配备专职人员，项目具体实施有建设单位组织，具体内容有工程施工招投标、工程施工质量监理，工程质量主机验收等。对各项工程的实施从规划、设计到施工、验收实行全过程控制。每一个环节都要有专门的管理技术和施工人员负责，对工程质量进行严格监控、检查验收。</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资金保障措施项目资金由实施单位申报，由项目建设领导小组统筹安排。各项资金分级分项制定资金支付、资金使用监督管理办法等各项财务管理制度；实行财务分级管理，明确项目资金管理办法；项目施工单位要根据投资计划和工程进度，按已完成工程量填写报账申请书，经项目负责人和工程监理人员签字后，并经过有关部门的质量检查，连同所有财务原始凭证，报项目办公室审核后到资金专户报账。保证项目资金专款专用，做到不挪用，不截留。</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4、技术保障措施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确保建设项目实施的科学性、先进性、实用性、由塔城市乡村振兴局相关行业部门人员，审核项目实施方案、初步设计等，不断修订完善建设标准，及时了解、解决项目建设中出现的问题，严把建设技术关，确保工程建设项目的质量，使其长期发挥效益。</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1" w:name="_Toc5122"/>
      <w:bookmarkStart w:id="62" w:name="_Toc976"/>
      <w:r>
        <w:rPr>
          <w:rFonts w:hint="eastAsia" w:ascii="楷体_GB2312" w:hAnsi="楷体_GB2312" w:eastAsia="楷体_GB2312" w:cs="楷体_GB2312"/>
          <w:sz w:val="32"/>
          <w:szCs w:val="32"/>
          <w:lang w:val="en-US" w:eastAsia="zh-CN"/>
        </w:rPr>
        <w:t>5.3项目管理、监督检查制度</w:t>
      </w:r>
      <w:bookmarkEnd w:id="61"/>
      <w:bookmarkEnd w:id="62"/>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建设单位下设项目建设领导小组，协调解决建设工程主方案编制、可研编制、项目立项、资金争取、勘察设计、用地审批、手续办理、矛盾纠纷处理等工作，确保工程顺利开展。领导小组下设项目办公室，具体负责项目招投标、规划设计审核、施工计划拟定、进度报表等日常工作。</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按建设区域和功能定位，工程建设管理由建设单位领导班子成员担任，具体负责工程实施日常监管，监督检查等工作，与监理单位配合做好工程质量管理，确保项目工程规范、顺利实施。</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3" w:name="_Toc17072"/>
      <w:bookmarkStart w:id="64" w:name="_Toc8117"/>
      <w:r>
        <w:rPr>
          <w:rFonts w:hint="eastAsia" w:ascii="楷体_GB2312" w:hAnsi="楷体_GB2312" w:eastAsia="楷体_GB2312" w:cs="楷体_GB2312"/>
          <w:sz w:val="32"/>
          <w:szCs w:val="32"/>
          <w:lang w:val="en-US" w:eastAsia="zh-CN"/>
        </w:rPr>
        <w:t>5.4验收管理</w:t>
      </w:r>
      <w:bookmarkEnd w:id="63"/>
      <w:bookmarkEnd w:id="64"/>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根据《新疆维吾尔自治区财政衔接推进乡村振兴补助资金（巩固拓展脱贫攻坚成果和乡村振兴任务）项目管理办法（暂行）》的通知 新乡振（2021）32号等相关文件要求，坚持项目竣工验收制度，遵照属地管理、“谁审批、谁验收”的原则。按照村、镇、市三个级别逐级开展验收工作。根据实施单位的验收申请，先由二工镇人民政府组织项目施工单位、监理单位、设计单位及所在社区开展项目初验，验收合格，向市乡村振兴领导小组申请竣工验收，在市乡村振兴开发领导小组统一安排下，由市乡村振兴局牵头开展竣工验收工作，成立竣工验收评价工作小组，明确验收小组成员，及时完成竣工验收工作。</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5" w:name="_Toc10298"/>
      <w:bookmarkStart w:id="66" w:name="_Toc19957"/>
      <w:r>
        <w:rPr>
          <w:rFonts w:hint="eastAsia" w:ascii="楷体_GB2312" w:hAnsi="楷体_GB2312" w:eastAsia="楷体_GB2312" w:cs="楷体_GB2312"/>
          <w:sz w:val="32"/>
          <w:szCs w:val="32"/>
          <w:lang w:val="en-US" w:eastAsia="zh-CN"/>
        </w:rPr>
        <w:t>5.5管护机制</w:t>
      </w:r>
      <w:bookmarkEnd w:id="65"/>
      <w:bookmarkEnd w:id="66"/>
    </w:p>
    <w:p>
      <w:pPr>
        <w:spacing w:line="560" w:lineRule="exact"/>
        <w:ind w:firstLine="640" w:firstLineChars="200"/>
        <w:rPr>
          <w:rFonts w:hint="default" w:ascii="仿宋" w:eastAsia="仿宋" w:cs="仿宋"/>
          <w:sz w:val="32"/>
          <w:szCs w:val="32"/>
          <w:lang w:val="en-US" w:eastAsia="zh-CN" w:bidi="ar-SA"/>
        </w:rPr>
      </w:pPr>
      <w:bookmarkStart w:id="67" w:name="_Toc32657"/>
      <w:bookmarkStart w:id="68" w:name="_Toc24822"/>
      <w:bookmarkStart w:id="69" w:name="_Toc25280"/>
      <w:bookmarkStart w:id="70" w:name="_Toc15496"/>
      <w:r>
        <w:rPr>
          <w:rFonts w:hint="eastAsia" w:ascii="仿宋" w:eastAsia="仿宋" w:cs="仿宋"/>
          <w:sz w:val="32"/>
          <w:szCs w:val="32"/>
          <w:lang w:val="en-US" w:eastAsia="zh-CN" w:bidi="ar-SA"/>
        </w:rPr>
        <w:t>实施方案在运营管理主要从以下几方面进行：明确塔城市二工镇五个社区的所有权，落实后续管护的主体责任。项目完工后计划通过租赁方式对外承包，由承包单位负责运营管理，由资产承包单位负责落实项目资产后续管护的主体责任。</w:t>
      </w:r>
      <w:bookmarkEnd w:id="67"/>
      <w:bookmarkEnd w:id="68"/>
      <w:bookmarkEnd w:id="69"/>
      <w:bookmarkEnd w:id="70"/>
      <w:r>
        <w:rPr>
          <w:rFonts w:hint="eastAsia" w:ascii="仿宋" w:eastAsia="仿宋" w:cs="仿宋"/>
          <w:sz w:val="32"/>
          <w:szCs w:val="32"/>
          <w:lang w:val="en-US" w:eastAsia="zh-CN" w:bidi="ar-SA"/>
        </w:rPr>
        <w:t>二工镇五个社区负责对资产后续监管工作。</w:t>
      </w:r>
    </w:p>
    <w:p>
      <w:pPr>
        <w:spacing w:line="560" w:lineRule="exact"/>
        <w:ind w:firstLine="640" w:firstLineChars="200"/>
        <w:rPr>
          <w:rFonts w:hint="default" w:ascii="仿宋" w:eastAsia="仿宋" w:cs="仿宋"/>
          <w:sz w:val="32"/>
          <w:szCs w:val="32"/>
          <w:lang w:val="en-US" w:eastAsia="zh-CN" w:bidi="ar-SA"/>
        </w:rPr>
      </w:pPr>
      <w:bookmarkStart w:id="71" w:name="_Toc3274"/>
      <w:bookmarkStart w:id="72" w:name="_Toc13406"/>
      <w:r>
        <w:rPr>
          <w:rFonts w:hint="eastAsia" w:ascii="仿宋" w:eastAsia="仿宋" w:cs="仿宋"/>
          <w:sz w:val="32"/>
          <w:szCs w:val="32"/>
          <w:lang w:val="en-US" w:eastAsia="zh-CN" w:bidi="ar-SA"/>
        </w:rPr>
        <w:t>项目资产所有者主要职责：</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1.依照资产管理相关规定对项目资产进行产权登记，定期开展项目资产清查，建立项目资产台账。</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2.制定项目资产经营管理制度、项目后续管护制度等。3.要落实好监管责任，定期对资产进行检查，督促资产</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经营之履行好资产后续管护责任，保证资产后期正常运行，长期发挥效益。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4.维护收益群众的合法权益。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5.负责项目资产的日常管理及风险控制。</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6.负责项目资产经营者的选定及资产收回。</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7.定期上报资产管理情况。</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项目资产经营单位职责：</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1、项目资产投入使用后，项目资产所有资产交至经营者(承租方)运营管理，由经营者(承租方)负责项目资产后续管护工作。</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2、项目资产正式投入使用后，经营者(承租方)要安排专人负责，定期对资产进行维护检查，发现问题及时进行维修，确保资产正常运转，长期发挥效益。</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3、项目资产在后期生产使用过程中出现的损坏由经营者(承租方)进行维修，由此产生的费用由经营者(承租方)自行承担。</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3、项目资产所有权属于五个社区，经营者(承租方)拥有项目资产经营权，未经允许，不得处置、抵押、担保、变卖项目资产。</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4、经营者(承租方)对资产负有保值增值责任，享有依法经营的自主权，承担项目经营风险，依法按约支付收益。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5、经营者(承租方)要配合市、镇、社区做好资产监督检查或其他管理相关工作。</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5.6利益连接机制</w:t>
      </w:r>
      <w:bookmarkEnd w:id="71"/>
      <w:bookmarkEnd w:id="72"/>
    </w:p>
    <w:p>
      <w:pPr>
        <w:spacing w:line="560" w:lineRule="exact"/>
        <w:ind w:firstLine="640" w:firstLineChars="200"/>
        <w:rPr>
          <w:rFonts w:hint="default" w:ascii="仿宋" w:eastAsia="仿宋" w:cs="仿宋"/>
          <w:sz w:val="32"/>
          <w:szCs w:val="32"/>
          <w:lang w:val="en-US" w:eastAsia="zh-CN" w:bidi="ar-SA"/>
        </w:rPr>
      </w:pPr>
      <w:bookmarkStart w:id="73" w:name="_Toc27775"/>
      <w:bookmarkStart w:id="74" w:name="_Toc15895"/>
      <w:r>
        <w:rPr>
          <w:rFonts w:hint="eastAsia" w:ascii="仿宋" w:eastAsia="仿宋" w:cs="仿宋"/>
          <w:sz w:val="32"/>
          <w:szCs w:val="32"/>
          <w:lang w:val="en-US" w:eastAsia="zh-CN" w:bidi="ar-SA"/>
        </w:rPr>
        <w:t>项目投入使用后，二工镇五个社区面向社会公开招租，招租成功后，五个社区与资产经营者签订资产租赁协议，资产由经营者运营管理，五个社区集体每年收取租赁费的方式获取收益，资产收益为总投资5%。</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6.项目实施进度</w:t>
      </w:r>
      <w:bookmarkEnd w:id="73"/>
      <w:bookmarkEnd w:id="74"/>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5" w:name="_Toc30912"/>
      <w:bookmarkStart w:id="76" w:name="_Toc32356"/>
      <w:r>
        <w:rPr>
          <w:rFonts w:hint="eastAsia" w:ascii="楷体_GB2312" w:hAnsi="楷体_GB2312" w:eastAsia="楷体_GB2312" w:cs="楷体_GB2312"/>
          <w:sz w:val="32"/>
          <w:szCs w:val="32"/>
          <w:lang w:val="en-US" w:eastAsia="zh-CN"/>
        </w:rPr>
        <w:t>6.1项目实施进度计划及安排</w:t>
      </w:r>
      <w:bookmarkEnd w:id="75"/>
      <w:bookmarkEnd w:id="76"/>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县级项目计划通过市乡村振兴领导小组审核备案后，应立即启动实施、其中：属于政府采购、招标管理范围的，严格依法依规执行，原则上应在通过审核备案后10个工作日内启动；对依法可不招标或不涉及政府采购的，原则上应通过审核备案后5个工作日内启动。对采用以工代赈方式建设的项目，应执行发改部门以工代赈项目管理有关规定实施。</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根据项目建设内容和主要建设条件，本项目建设周期拟定为8个月，即2023年4月-2023年11月。</w:t>
      </w:r>
    </w:p>
    <w:p>
      <w:pPr>
        <w:pStyle w:val="9"/>
        <w:rPr>
          <w:rFonts w:hint="eastAsia" w:ascii="仿宋" w:eastAsia="仿宋" w:cs="仿宋"/>
          <w:sz w:val="32"/>
          <w:szCs w:val="32"/>
          <w:lang w:val="en-US" w:eastAsia="zh-CN" w:bidi="ar-SA"/>
        </w:rPr>
      </w:pPr>
    </w:p>
    <w:p>
      <w:pPr>
        <w:rPr>
          <w:rFonts w:hint="eastAsia" w:ascii="仿宋" w:eastAsia="仿宋" w:cs="仿宋"/>
          <w:sz w:val="32"/>
          <w:szCs w:val="32"/>
          <w:lang w:val="en-US" w:eastAsia="zh-CN" w:bidi="ar-SA"/>
        </w:rPr>
      </w:pPr>
    </w:p>
    <w:p>
      <w:pPr>
        <w:pStyle w:val="9"/>
        <w:ind w:left="0" w:leftChars="0" w:firstLine="0" w:firstLineChars="0"/>
        <w:rPr>
          <w:rFonts w:hint="eastAsia"/>
          <w:lang w:val="en-US" w:eastAsia="zh-CN"/>
        </w:rPr>
      </w:pPr>
    </w:p>
    <w:p>
      <w:pPr>
        <w:adjustRightInd w:val="0"/>
        <w:snapToGrid w:val="0"/>
        <w:spacing w:line="560" w:lineRule="exact"/>
        <w:ind w:firstLine="3012" w:firstLineChars="1000"/>
        <w:jc w:val="both"/>
        <w:rPr>
          <w:rFonts w:hint="default" w:ascii="Times New Roman" w:hAnsi="Times New Roman" w:eastAsia="仿宋" w:cs="Times New Roman"/>
          <w:b/>
          <w:kern w:val="0"/>
          <w:sz w:val="30"/>
        </w:rPr>
      </w:pPr>
      <w:r>
        <w:rPr>
          <w:rFonts w:hint="default" w:ascii="Times New Roman" w:hAnsi="Times New Roman" w:eastAsia="仿宋" w:cs="Times New Roman"/>
          <w:b/>
          <w:kern w:val="0"/>
          <w:sz w:val="30"/>
        </w:rPr>
        <w:t>项目实施计划横道图</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827"/>
        <w:gridCol w:w="810"/>
        <w:gridCol w:w="816"/>
        <w:gridCol w:w="767"/>
        <w:gridCol w:w="842"/>
        <w:gridCol w:w="825"/>
        <w:gridCol w:w="81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95" w:type="pct"/>
            <w:vMerge w:val="restart"/>
            <w:tcBorders>
              <w:tl2br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right"/>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时间</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工作</w:t>
            </w:r>
          </w:p>
        </w:tc>
        <w:tc>
          <w:tcPr>
            <w:tcW w:w="3804" w:type="pct"/>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w:t>
            </w:r>
            <w:r>
              <w:rPr>
                <w:rFonts w:hint="eastAsia" w:ascii="仿宋_GB2312" w:hAnsi="仿宋_GB2312" w:eastAsia="仿宋_GB2312" w:cs="仿宋_GB2312"/>
                <w:color w:val="auto"/>
                <w:kern w:val="0"/>
                <w:sz w:val="21"/>
                <w:szCs w:val="21"/>
                <w:highlight w:val="none"/>
                <w:lang w:val="en-US" w:eastAsia="zh-CN"/>
              </w:rPr>
              <w:t>3</w:t>
            </w:r>
            <w:r>
              <w:rPr>
                <w:rFonts w:hint="eastAsia" w:ascii="仿宋_GB2312" w:hAnsi="仿宋_GB2312" w:eastAsia="仿宋_GB2312" w:cs="仿宋_GB2312"/>
                <w:color w:val="auto"/>
                <w:kern w:val="0"/>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195" w:type="pct"/>
            <w:vMerge w:val="continue"/>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1月—3月</w:t>
            </w:r>
          </w:p>
        </w:tc>
        <w:tc>
          <w:tcPr>
            <w:tcW w:w="47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4月</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5月</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6月</w:t>
            </w:r>
          </w:p>
        </w:tc>
        <w:tc>
          <w:tcPr>
            <w:tcW w:w="494"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7月</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8月</w:t>
            </w:r>
          </w:p>
        </w:tc>
        <w:tc>
          <w:tcPr>
            <w:tcW w:w="477"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9月</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eastAsia="zh-CN"/>
              </w:rPr>
              <w:t>可研审批，</w:t>
            </w:r>
            <w:r>
              <w:rPr>
                <w:rFonts w:hint="eastAsia" w:ascii="仿宋_GB2312" w:hAnsi="仿宋_GB2312" w:eastAsia="仿宋_GB2312" w:cs="仿宋_GB2312"/>
                <w:color w:val="auto"/>
                <w:kern w:val="0"/>
                <w:sz w:val="21"/>
                <w:szCs w:val="21"/>
                <w:highlight w:val="none"/>
                <w:lang w:val="en-US" w:eastAsia="zh-CN"/>
              </w:rPr>
              <w:t>设计，</w:t>
            </w:r>
            <w:r>
              <w:rPr>
                <w:rFonts w:hint="eastAsia" w:ascii="仿宋_GB2312" w:hAnsi="仿宋_GB2312" w:eastAsia="仿宋_GB2312" w:cs="仿宋_GB2312"/>
                <w:color w:val="auto"/>
                <w:kern w:val="0"/>
                <w:sz w:val="21"/>
                <w:szCs w:val="21"/>
                <w:highlight w:val="none"/>
                <w:lang w:eastAsia="zh-CN"/>
              </w:rPr>
              <w:t>招标等前期</w:t>
            </w:r>
            <w:r>
              <w:rPr>
                <w:rFonts w:hint="eastAsia" w:ascii="仿宋_GB2312" w:hAnsi="仿宋_GB2312" w:eastAsia="仿宋_GB2312" w:cs="仿宋_GB2312"/>
                <w:color w:val="auto"/>
                <w:kern w:val="0"/>
                <w:sz w:val="21"/>
                <w:szCs w:val="21"/>
                <w:highlight w:val="none"/>
              </w:rPr>
              <w:t>工作</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154940</wp:posOffset>
                      </wp:positionV>
                      <wp:extent cx="575945" cy="0"/>
                      <wp:effectExtent l="0" t="15875" r="14605" b="22225"/>
                      <wp:wrapNone/>
                      <wp:docPr id="14" name="直接连接符 14"/>
                      <wp:cNvGraphicFramePr/>
                      <a:graphic xmlns:a="http://schemas.openxmlformats.org/drawingml/2006/main">
                        <a:graphicData uri="http://schemas.microsoft.com/office/word/2010/wordprocessingShape">
                          <wps:wsp>
                            <wps:cNvCnPr/>
                            <wps:spPr>
                              <a:xfrm>
                                <a:off x="0" y="0"/>
                                <a:ext cx="575945"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12.2pt;height:0pt;width:45.35pt;z-index:251662336;mso-width-relative:page;mso-height-relative:page;" filled="f" stroked="t" coordsize="21600,21600" o:gfxdata="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ONKbrTAAAABwEAAA8AAAAAAAAA&#10;AQAgAAAAIgAAAGRycy9kb3ducmV2LnhtbFBLAQIUABQAAAAIAIdO4kAhQaCd3QEAAJgDAAAOAAAA&#10;AAAAAAEAIAAAACIBAABkcnMvZTJvRG9jLnhtbFBLBQYAAAAABgAGAFkBAABxBQAAAAA=&#10;">
                      <v:fill on="f" focussize="0,0"/>
                      <v:stroke weight="2.5pt" color="#000000" joinstyle="round"/>
                      <v:imagedata o:title=""/>
                      <o:lock v:ext="edit" aspectratio="f"/>
                    </v:line>
                  </w:pict>
                </mc:Fallback>
              </mc:AlternateContent>
            </w: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施工准备工作</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519430</wp:posOffset>
                      </wp:positionH>
                      <wp:positionV relativeFrom="paragraph">
                        <wp:posOffset>212725</wp:posOffset>
                      </wp:positionV>
                      <wp:extent cx="616585" cy="25400"/>
                      <wp:effectExtent l="0" t="15875" r="12065" b="15875"/>
                      <wp:wrapNone/>
                      <wp:docPr id="15" name="肘形连接符 15"/>
                      <wp:cNvGraphicFramePr/>
                      <a:graphic xmlns:a="http://schemas.openxmlformats.org/drawingml/2006/main">
                        <a:graphicData uri="http://schemas.microsoft.com/office/word/2010/wordprocessingShape">
                          <wps:wsp>
                            <wps:cNvCnPr/>
                            <wps:spPr>
                              <a:xfrm>
                                <a:off x="0" y="0"/>
                                <a:ext cx="616585" cy="25400"/>
                              </a:xfrm>
                              <a:prstGeom prst="bentConnector3">
                                <a:avLst>
                                  <a:gd name="adj1" fmla="val 50051"/>
                                </a:avLst>
                              </a:prstGeom>
                              <a:ln w="317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40.9pt;margin-top:16.75pt;height:2pt;width:48.55pt;z-index:251660288;mso-width-relative:page;mso-height-relative:page;" filled="f" stroked="t" coordsize="21600,21600" o:gfxdata="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P+TP2QAAAAgBAAAPAAAAAAAAAAEAIAAAACIAAABkcnMvZG93&#10;bnJldi54bWxQSwECFAAUAAAACACHTuJARWqTm/8BAADRAwAADgAAAAAAAAABACAAAAAoAQAAZHJz&#10;L2Uyb0RvYy54bWxQSwUGAAAAAAYABgBZAQAAmQUAAAAA&#10;" adj="10811">
                      <v:fill on="f" focussize="0,0"/>
                      <v:stroke weight="2.5pt" color="#000000" joinstyle="miter"/>
                      <v:imagedata o:title=""/>
                      <o:lock v:ext="edit" aspectratio="f"/>
                    </v:shape>
                  </w:pict>
                </mc:Fallback>
              </mc:AlternateContent>
            </w: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土建、安装等施工</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299720</wp:posOffset>
                      </wp:positionV>
                      <wp:extent cx="3342640" cy="635"/>
                      <wp:effectExtent l="0" t="15875" r="10160" b="21590"/>
                      <wp:wrapNone/>
                      <wp:docPr id="16" name="直接箭头连接符 16"/>
                      <wp:cNvGraphicFramePr/>
                      <a:graphic xmlns:a="http://schemas.openxmlformats.org/drawingml/2006/main">
                        <a:graphicData uri="http://schemas.microsoft.com/office/word/2010/wordprocessingShape">
                          <wps:wsp>
                            <wps:cNvCnPr/>
                            <wps:spPr>
                              <a:xfrm flipV="1">
                                <a:off x="0" y="0"/>
                                <a:ext cx="3342640" cy="635"/>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5.8pt;margin-top:23.6pt;height:0.05pt;width:263.2pt;z-index:251659264;mso-width-relative:page;mso-height-relative:page;" filled="f" stroked="t" coordsize="21600,21600" o:gfxdata="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0O&#10;ZDnYAAAACQEAAA8AAAAAAAAAAQAgAAAAIgAAAGRycy9kb3ducmV2LnhtbFBLAQIUABQAAAAIAIdO&#10;4kBpVJEI6gEAAK0DAAAOAAAAAAAAAAEAIAAAACcBAABkcnMvZTJvRG9jLnhtbFBLBQYAAAAABgAG&#10;AFkBAACDBQAAAAA=&#10;">
                      <v:fill on="f" focussize="0,0"/>
                      <v:stroke weight="2.5pt" color="#000000" joinstyle="round"/>
                      <v:imagedata o:title=""/>
                      <o:lock v:ext="edit" aspectratio="f"/>
                    </v:shape>
                  </w:pict>
                </mc:Fallback>
              </mc:AlternateContent>
            </w: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竣工验收</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269875</wp:posOffset>
                      </wp:positionV>
                      <wp:extent cx="443230" cy="12065"/>
                      <wp:effectExtent l="635" t="15875" r="13335" b="29210"/>
                      <wp:wrapNone/>
                      <wp:docPr id="18" name="直接箭头连接符 18"/>
                      <wp:cNvGraphicFramePr/>
                      <a:graphic xmlns:a="http://schemas.openxmlformats.org/drawingml/2006/main">
                        <a:graphicData uri="http://schemas.microsoft.com/office/word/2010/wordprocessingShape">
                          <wps:wsp>
                            <wps:cNvCnPr/>
                            <wps:spPr>
                              <a:xfrm>
                                <a:off x="0" y="0"/>
                                <a:ext cx="443230" cy="12065"/>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pt;margin-top:21.25pt;height:0.95pt;width:34.9pt;z-index:251661312;mso-width-relative:page;mso-height-relative:page;" filled="f" stroked="t" coordsize="21600,21600" o:gfxdata="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tbjI9YAAAAI&#10;AQAADwAAAAAAAAABACAAAAAiAAAAZHJzL2Rvd25yZXYueG1sUEsBAhQAFAAAAAgAh07iQForGWvl&#10;AQAApAMAAA4AAAAAAAAAAQAgAAAAJQEAAGRycy9lMm9Eb2MueG1sUEsFBgAAAAAGAAYAWQEAAHwF&#10;AAAAAA==&#10;">
                      <v:fill on="f" focussize="0,0"/>
                      <v:stroke weight="2.5pt" color="#000000" joinstyle="round"/>
                      <v:imagedata o:title=""/>
                      <o:lock v:ext="edit" aspectratio="f"/>
                    </v:shape>
                  </w:pict>
                </mc:Fallback>
              </mc:AlternateContent>
            </w: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bl>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7" w:name="_Toc21816"/>
      <w:bookmarkStart w:id="78" w:name="_Toc27164"/>
      <w:r>
        <w:rPr>
          <w:rFonts w:hint="eastAsia" w:ascii="楷体_GB2312" w:hAnsi="楷体_GB2312" w:eastAsia="楷体_GB2312" w:cs="楷体_GB2312"/>
          <w:sz w:val="32"/>
          <w:szCs w:val="32"/>
          <w:lang w:val="en-US" w:eastAsia="zh-CN"/>
        </w:rPr>
        <w:t>6.2招标方案</w:t>
      </w:r>
      <w:bookmarkEnd w:id="77"/>
      <w:bookmarkEnd w:id="78"/>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中华人民共和国国家发改委《必须招标的工程项目规定》(第16号令，2018年6月1日)、自治区建设厅《新疆维吾尔自治区建设工程招标投标管理办法》，项目的勘察、设计、施工、监理以及与工程建设有关的重要设备、材料等的采购，达到下列标准之一的，必须进行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(一)施工单项合同估算价在400万元人民币以上的；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(二)重要设备、材料等货物的采购，单项合同估算价在200万元人民币以上的；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(三)勘察、设计、监理等服务的采购，单项合同估算价在100万元人民币以上的；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(四)同一项目中可以合并进行的勘察、设计、施工、监理乙级与工程建设有关的重要设备、材料等的采购，合同估算价合计达到前款规定标准的，必须招标。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本项目的招标活动委托给依法设立、从事招标代理业务并提供相关服务的乙级以上招标代理机构，具体程序如下：</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1、本项目按照国家有关规定先履行项目审批手续，取得批准后委托乙级以上招标代理机构进行公开招标。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2、招标代理机构在国家指定媒体上发布招标公告。</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3、本项目的招标文件应当包括项目的技术要求、对投标人资格审查的标准，投标报告要求和评标标准等所有实质性要求和条件以及拟签订合同的主要条款。</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施工企业选择招标：施工企业要求资质在市政三级以上，面向全疆及塔城地区公开选择投标人。</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9" w:name="_Toc25961"/>
      <w:bookmarkStart w:id="80" w:name="_Toc7846"/>
      <w:r>
        <w:rPr>
          <w:rFonts w:hint="eastAsia" w:ascii="楷体_GB2312" w:hAnsi="楷体_GB2312" w:eastAsia="楷体_GB2312" w:cs="楷体_GB2312"/>
          <w:sz w:val="32"/>
          <w:szCs w:val="32"/>
          <w:lang w:val="en-US" w:eastAsia="zh-CN"/>
        </w:rPr>
        <w:t>6.3项目公告公示</w:t>
      </w:r>
      <w:bookmarkEnd w:id="79"/>
      <w:bookmarkEnd w:id="80"/>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根据《新疆维吾尔自治区财政衔接推进乡村振兴补助资金（巩固拓展脱贫攻坚成果和乡村振兴任务）项目管理办法（暂行）》的通知 新乡振（2021）32号等文件精神，按事前、事中、事后的方式全方位开展项目公告公示，在项目申报时进行公示，在项目招标及中标后进行公示，在项目完工后进行竣工决算公示，到年底对本单位实施的所有项目进行公告，以上公示公告方式采取公示栏张贴公示、网站公示等方式开展。</w:t>
      </w:r>
    </w:p>
    <w:p>
      <w:pPr>
        <w:kinsoku/>
        <w:wordWrap/>
        <w:overflowPunct/>
        <w:topLinePunct w:val="0"/>
        <w:autoSpaceDE/>
        <w:autoSpaceDN/>
        <w:bidi w:val="0"/>
        <w:spacing w:line="5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本工程招标的基本情况详见《招标基本情况表》</w:t>
      </w:r>
    </w:p>
    <w:tbl>
      <w:tblPr>
        <w:tblStyle w:val="18"/>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801"/>
        <w:gridCol w:w="824"/>
        <w:gridCol w:w="810"/>
        <w:gridCol w:w="818"/>
        <w:gridCol w:w="832"/>
        <w:gridCol w:w="939"/>
        <w:gridCol w:w="109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2" w:hRule="atLeast"/>
          <w:jc w:val="center"/>
        </w:trPr>
        <w:tc>
          <w:tcPr>
            <w:tcW w:w="1281"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建设项</w:t>
            </w:r>
          </w:p>
          <w:p>
            <w:pPr>
              <w:jc w:val="center"/>
              <w:rPr>
                <w:rFonts w:hint="eastAsia" w:ascii="仿宋" w:hAnsi="仿宋" w:eastAsia="仿宋" w:cs="仿宋"/>
                <w:color w:val="auto"/>
              </w:rPr>
            </w:pPr>
            <w:r>
              <w:rPr>
                <w:rFonts w:hint="eastAsia" w:ascii="仿宋" w:hAnsi="仿宋" w:eastAsia="仿宋" w:cs="仿宋"/>
                <w:color w:val="auto"/>
                <w:sz w:val="24"/>
              </w:rPr>
              <w:t>目名称</w:t>
            </w:r>
          </w:p>
        </w:tc>
        <w:tc>
          <w:tcPr>
            <w:tcW w:w="1625"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招标范围</w:t>
            </w:r>
          </w:p>
        </w:tc>
        <w:tc>
          <w:tcPr>
            <w:tcW w:w="1628"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招标组织形式</w:t>
            </w:r>
          </w:p>
        </w:tc>
        <w:tc>
          <w:tcPr>
            <w:tcW w:w="1771"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招标方式</w:t>
            </w:r>
          </w:p>
        </w:tc>
        <w:tc>
          <w:tcPr>
            <w:tcW w:w="1095"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不采用招标方式</w:t>
            </w:r>
          </w:p>
        </w:tc>
        <w:tc>
          <w:tcPr>
            <w:tcW w:w="1257"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估算</w:t>
            </w:r>
          </w:p>
          <w:p>
            <w:pPr>
              <w:jc w:val="center"/>
              <w:rPr>
                <w:rFonts w:hint="eastAsia" w:ascii="仿宋" w:hAnsi="仿宋" w:eastAsia="仿宋" w:cs="仿宋"/>
                <w:color w:val="auto"/>
                <w:sz w:val="24"/>
              </w:rPr>
            </w:pPr>
            <w:r>
              <w:rPr>
                <w:rFonts w:hint="eastAsia" w:ascii="仿宋" w:hAnsi="仿宋" w:eastAsia="仿宋" w:cs="仿宋"/>
                <w:color w:val="auto"/>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281" w:type="dxa"/>
            <w:vMerge w:val="continue"/>
            <w:noWrap w:val="0"/>
            <w:vAlign w:val="center"/>
          </w:tcPr>
          <w:p>
            <w:pPr>
              <w:jc w:val="center"/>
              <w:rPr>
                <w:rFonts w:hint="eastAsia" w:ascii="仿宋" w:hAnsi="仿宋" w:eastAsia="仿宋" w:cs="仿宋"/>
                <w:color w:val="auto"/>
                <w:sz w:val="24"/>
              </w:rPr>
            </w:pPr>
          </w:p>
        </w:tc>
        <w:tc>
          <w:tcPr>
            <w:tcW w:w="80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全部</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24"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部分</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1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自行</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18"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委托</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公开</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939"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邀请</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1095" w:type="dxa"/>
            <w:vMerge w:val="continue"/>
            <w:noWrap w:val="0"/>
            <w:vAlign w:val="center"/>
          </w:tcPr>
          <w:p>
            <w:pPr>
              <w:jc w:val="center"/>
              <w:rPr>
                <w:rFonts w:hint="eastAsia" w:ascii="仿宋" w:hAnsi="仿宋" w:eastAsia="仿宋" w:cs="仿宋"/>
                <w:color w:val="auto"/>
                <w:sz w:val="24"/>
              </w:rPr>
            </w:pPr>
          </w:p>
        </w:tc>
        <w:tc>
          <w:tcPr>
            <w:tcW w:w="1257" w:type="dxa"/>
            <w:vMerge w:val="continue"/>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1" w:type="dxa"/>
            <w:noWrap w:val="0"/>
            <w:vAlign w:val="center"/>
          </w:tcPr>
          <w:p>
            <w:pPr>
              <w:jc w:val="center"/>
              <w:rPr>
                <w:rFonts w:hint="eastAsia" w:ascii="仿宋" w:hAnsi="仿宋" w:eastAsia="仿宋" w:cs="仿宋"/>
                <w:color w:val="auto"/>
                <w:sz w:val="24"/>
              </w:rPr>
            </w:pPr>
            <w:bookmarkStart w:id="81" w:name="OLE_LINK9" w:colFirst="8" w:colLast="8"/>
            <w:bookmarkStart w:id="82" w:name="_Hlk296648746"/>
            <w:bookmarkStart w:id="83" w:name="OLE_LINK8" w:colFirst="8" w:colLast="8"/>
            <w:bookmarkStart w:id="84" w:name="OLE_LINK7" w:colFirst="8" w:colLast="8"/>
            <w:r>
              <w:rPr>
                <w:rFonts w:hint="eastAsia" w:ascii="仿宋" w:hAnsi="仿宋" w:eastAsia="仿宋" w:cs="仿宋"/>
                <w:color w:val="auto"/>
                <w:sz w:val="24"/>
              </w:rPr>
              <w:t>勘察</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bookmarkEnd w:id="81"/>
      <w:bookmarkEnd w:id="82"/>
      <w:bookmarkEnd w:id="83"/>
      <w:bookmark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设计</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建筑工程</w:t>
            </w:r>
          </w:p>
        </w:tc>
        <w:tc>
          <w:tcPr>
            <w:tcW w:w="801"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r>
              <w:rPr>
                <w:rFonts w:hint="eastAsia" w:ascii="仿宋" w:hAnsi="仿宋" w:eastAsia="仿宋" w:cs="仿宋"/>
                <w:b/>
                <w:color w:val="auto"/>
                <w:sz w:val="24"/>
              </w:rPr>
              <w:t>√</w:t>
            </w: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安装工程</w:t>
            </w:r>
          </w:p>
        </w:tc>
        <w:tc>
          <w:tcPr>
            <w:tcW w:w="801"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r>
              <w:rPr>
                <w:rFonts w:hint="eastAsia" w:ascii="仿宋" w:hAnsi="仿宋" w:eastAsia="仿宋" w:cs="仿宋"/>
                <w:b/>
                <w:color w:val="auto"/>
                <w:sz w:val="24"/>
              </w:rPr>
              <w:t>√</w:t>
            </w: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监理</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重要材料</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其他</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pStyle w:val="14"/>
              <w:tabs>
                <w:tab w:val="right" w:leader="dot" w:pos="8820"/>
              </w:tabs>
              <w:rPr>
                <w:rFonts w:hint="eastAsia" w:ascii="仿宋" w:hAnsi="仿宋" w:eastAsia="仿宋" w:cs="仿宋"/>
                <w:color w:val="auto"/>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pStyle w:val="14"/>
              <w:tabs>
                <w:tab w:val="right" w:leader="dot" w:pos="8820"/>
              </w:tabs>
              <w:rPr>
                <w:rFonts w:hint="eastAsia" w:ascii="仿宋" w:hAnsi="仿宋" w:eastAsia="仿宋" w:cs="仿宋"/>
                <w:color w:val="auto"/>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bl>
    <w:p>
      <w:pPr>
        <w:pStyle w:val="25"/>
        <w:spacing w:line="500" w:lineRule="exact"/>
        <w:ind w:firstLine="0" w:firstLineChars="0"/>
        <w:outlineLvl w:val="0"/>
        <w:rPr>
          <w:rFonts w:hint="eastAsia" w:ascii="黑体" w:hAnsi="黑体" w:eastAsia="黑体" w:cs="黑体"/>
          <w:b w:val="0"/>
          <w:bCs w:val="0"/>
          <w:sz w:val="30"/>
          <w:szCs w:val="30"/>
          <w:lang w:val="en-US" w:eastAsia="zh-CN"/>
        </w:rPr>
      </w:pPr>
      <w:bookmarkStart w:id="85" w:name="_Toc22859"/>
      <w:bookmarkStart w:id="86" w:name="_Toc4116"/>
      <w:r>
        <w:rPr>
          <w:rFonts w:hint="eastAsia" w:ascii="黑体" w:hAnsi="黑体" w:eastAsia="黑体" w:cs="黑体"/>
          <w:b w:val="0"/>
          <w:bCs w:val="0"/>
          <w:sz w:val="30"/>
          <w:szCs w:val="30"/>
          <w:lang w:val="en-US" w:eastAsia="zh-CN"/>
        </w:rPr>
        <w:t>7.项目绩效目标及效益分析</w:t>
      </w:r>
      <w:bookmarkEnd w:id="85"/>
      <w:bookmarkEnd w:id="86"/>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7" w:name="_Toc29330"/>
      <w:bookmarkStart w:id="88" w:name="_Toc2627"/>
      <w:r>
        <w:rPr>
          <w:rFonts w:hint="eastAsia" w:ascii="楷体_GB2312" w:hAnsi="楷体_GB2312" w:eastAsia="楷体_GB2312" w:cs="楷体_GB2312"/>
          <w:sz w:val="32"/>
          <w:szCs w:val="32"/>
          <w:lang w:val="en-US" w:eastAsia="zh-CN"/>
        </w:rPr>
        <w:t>7.1年度目标</w:t>
      </w:r>
      <w:bookmarkEnd w:id="87"/>
      <w:bookmarkEnd w:id="88"/>
    </w:p>
    <w:p>
      <w:pPr>
        <w:kinsoku/>
        <w:wordWrap/>
        <w:overflowPunct/>
        <w:topLinePunct w:val="0"/>
        <w:autoSpaceDE/>
        <w:autoSpaceDN/>
        <w:bidi w:val="0"/>
        <w:spacing w:line="500" w:lineRule="exact"/>
        <w:rPr>
          <w:rFonts w:hint="eastAsia" w:ascii="仿宋" w:hAnsi="仿宋" w:eastAsia="仿宋" w:cs="仿宋"/>
          <w:sz w:val="32"/>
          <w:szCs w:val="32"/>
        </w:rPr>
      </w:pPr>
      <w:r>
        <w:rPr>
          <w:rFonts w:hint="eastAsia" w:ascii="仿宋" w:hAnsi="仿宋" w:eastAsia="仿宋" w:cs="仿宋"/>
          <w:sz w:val="32"/>
          <w:szCs w:val="32"/>
        </w:rPr>
        <w:t>7.1.1项目覆盖情况</w:t>
      </w:r>
    </w:p>
    <w:p>
      <w:pPr>
        <w:kinsoku/>
        <w:wordWrap/>
        <w:overflowPunct/>
        <w:topLinePunct w:val="0"/>
        <w:autoSpaceDE/>
        <w:autoSpaceDN/>
        <w:bidi w:val="0"/>
        <w:spacing w:line="500" w:lineRule="exact"/>
        <w:ind w:left="0" w:firstLine="640" w:firstLineChars="200"/>
        <w:rPr>
          <w:rFonts w:hint="eastAsia" w:asciiTheme="minorHAnsi" w:hAnsiTheme="minorHAnsi" w:eastAsiaTheme="minorEastAsia" w:cstheme="minorBidi"/>
          <w:kern w:val="2"/>
          <w:sz w:val="32"/>
          <w:szCs w:val="32"/>
          <w:lang w:val="en-US" w:eastAsia="zh-CN" w:bidi="ar-SA"/>
        </w:rPr>
      </w:pPr>
      <w:r>
        <w:rPr>
          <w:rFonts w:hint="eastAsia" w:ascii="仿宋" w:eastAsia="仿宋" w:cs="仿宋"/>
          <w:sz w:val="32"/>
          <w:szCs w:val="32"/>
          <w:lang w:val="en-US" w:eastAsia="zh-CN" w:bidi="ar-SA"/>
        </w:rPr>
        <w:t>本项目认真贯彻落实乡村振兴战略，塔城市二工镇</w:t>
      </w:r>
      <w:r>
        <w:rPr>
          <w:rFonts w:hint="eastAsia" w:ascii="仿宋" w:hAnsi="仿宋" w:eastAsia="仿宋" w:cs="仿宋"/>
          <w:sz w:val="32"/>
          <w:szCs w:val="32"/>
          <w:lang w:val="en-US" w:eastAsia="zh-CN"/>
        </w:rPr>
        <w:t>人民政府</w:t>
      </w:r>
      <w:r>
        <w:rPr>
          <w:rFonts w:hint="eastAsia" w:ascii="仿宋" w:eastAsia="仿宋" w:cs="仿宋"/>
          <w:sz w:val="32"/>
          <w:szCs w:val="32"/>
          <w:lang w:val="en-US" w:eastAsia="zh-CN" w:bidi="ar-SA"/>
        </w:rPr>
        <w:t>在将各项惠民政策落到实处的同时，根据五个社区实际，助力村民生活上新水平，村庄环境展新面貌，村庄的农牧业发展。对促进本地区的社会和经济发展具有十分重要的意义。</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9" w:name="_Toc15114"/>
      <w:bookmarkStart w:id="90" w:name="_Toc9108"/>
      <w:r>
        <w:rPr>
          <w:rFonts w:hint="eastAsia" w:ascii="楷体_GB2312" w:hAnsi="楷体_GB2312" w:eastAsia="楷体_GB2312" w:cs="楷体_GB2312"/>
          <w:sz w:val="32"/>
          <w:szCs w:val="32"/>
          <w:lang w:val="en-US" w:eastAsia="zh-CN"/>
        </w:rPr>
        <w:t>7.2经济效益分析</w:t>
      </w:r>
      <w:bookmarkEnd w:id="89"/>
      <w:bookmarkEnd w:id="90"/>
    </w:p>
    <w:p>
      <w:pPr>
        <w:pStyle w:val="25"/>
        <w:spacing w:line="500" w:lineRule="exact"/>
        <w:ind w:firstLine="0" w:firstLineChars="0"/>
        <w:outlineLvl w:val="1"/>
        <w:rPr>
          <w:rFonts w:hint="eastAsia"/>
          <w:sz w:val="32"/>
          <w:szCs w:val="32"/>
          <w:lang w:val="en-US" w:eastAsia="zh-CN"/>
        </w:rPr>
      </w:pPr>
      <w:r>
        <w:rPr>
          <w:rFonts w:hint="eastAsia" w:ascii="仿宋" w:hAnsi="仿宋" w:eastAsia="仿宋" w:cs="仿宋"/>
          <w:sz w:val="32"/>
          <w:szCs w:val="32"/>
        </w:rPr>
        <w:t>7.2.</w:t>
      </w:r>
      <w:r>
        <w:rPr>
          <w:rFonts w:hint="eastAsia" w:ascii="仿宋" w:hAnsi="仿宋" w:eastAsia="仿宋" w:cs="仿宋"/>
          <w:sz w:val="32"/>
          <w:szCs w:val="32"/>
          <w:lang w:val="en-US" w:eastAsia="zh-CN"/>
        </w:rPr>
        <w:t>1绩效目标</w:t>
      </w:r>
    </w:p>
    <w:p>
      <w:pPr>
        <w:pStyle w:val="2"/>
        <w:numPr>
          <w:ilvl w:val="2"/>
          <w:numId w:val="0"/>
        </w:numPr>
        <w:tabs>
          <w:tab w:val="clear" w:pos="2127"/>
        </w:tabs>
        <w:rPr>
          <w:rFonts w:hint="eastAsia"/>
          <w:lang w:val="en-US" w:eastAsia="zh-CN"/>
        </w:rPr>
      </w:pPr>
    </w:p>
    <w:tbl>
      <w:tblPr>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2"/>
        <w:gridCol w:w="1319"/>
        <w:gridCol w:w="1493"/>
        <w:gridCol w:w="1613"/>
        <w:gridCol w:w="2185"/>
        <w:gridCol w:w="600"/>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9317"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9317"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10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塔城市二工镇五个社区暖圈建设项目</w:t>
            </w:r>
          </w:p>
        </w:tc>
        <w:tc>
          <w:tcPr>
            <w:tcW w:w="21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项目负责人及联系电话</w:t>
            </w:r>
          </w:p>
        </w:tc>
        <w:tc>
          <w:tcPr>
            <w:tcW w:w="19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帕尔哈提13319017127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主管部门</w:t>
            </w:r>
          </w:p>
        </w:tc>
        <w:tc>
          <w:tcPr>
            <w:tcW w:w="310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塔城市乡村振兴局</w:t>
            </w:r>
          </w:p>
        </w:tc>
        <w:tc>
          <w:tcPr>
            <w:tcW w:w="21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实施单位</w:t>
            </w:r>
          </w:p>
        </w:tc>
        <w:tc>
          <w:tcPr>
            <w:tcW w:w="19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塔城市二工镇人民政府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资金情况</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（万元）</w:t>
            </w:r>
          </w:p>
        </w:tc>
        <w:tc>
          <w:tcPr>
            <w:tcW w:w="310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年度资金总额：</w:t>
            </w:r>
          </w:p>
        </w:tc>
        <w:tc>
          <w:tcPr>
            <w:tcW w:w="41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其中：财政拨款</w:t>
            </w:r>
          </w:p>
        </w:tc>
        <w:tc>
          <w:tcPr>
            <w:tcW w:w="41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41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体</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目</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w:t>
            </w:r>
          </w:p>
        </w:tc>
        <w:tc>
          <w:tcPr>
            <w:tcW w:w="8584"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4"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项目总投资395万元，用于在天羊牧业园区建设5座800平方米的圈舍及配套设施，用于铁列克社区、南湖社区、南山社区、也克苏社区、园艺社区发展本村畜牧业，固定资产收益由村集体收益。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效</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w:t>
            </w:r>
          </w:p>
        </w:tc>
        <w:tc>
          <w:tcPr>
            <w:tcW w:w="131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一级指标</w:t>
            </w: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二级指标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三级指标</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4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建设厂房面积</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‘=800平方米/座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建设圈舍数量</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项目（工程）验收合格率</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资金支付及时率</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项目开工时间</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2024年4月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项目完工时间</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2024年11月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成本指标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建设暖圈成本</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≤79万元/座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效益指标</w:t>
            </w: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项目设计使用年限</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项目运行一年后村集体分红比例</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受益村民人口数</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4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服务对象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439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项目受益村村民满意度（≥**%）</w:t>
            </w:r>
          </w:p>
        </w:tc>
        <w:tc>
          <w:tcPr>
            <w:tcW w:w="13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r>
    </w:tbl>
    <w:p>
      <w:pPr>
        <w:rPr>
          <w:rFonts w:hint="eastAsia"/>
          <w:lang w:val="en-US" w:eastAsia="zh-CN"/>
        </w:rPr>
        <w:sectPr>
          <w:pgSz w:w="11900" w:h="16838"/>
          <w:pgMar w:top="1440" w:right="1797" w:bottom="1440" w:left="1797" w:header="850" w:footer="992" w:gutter="0"/>
          <w:pgBorders>
            <w:top w:val="none" w:sz="0" w:space="0"/>
            <w:left w:val="none" w:sz="0" w:space="0"/>
            <w:bottom w:val="none" w:sz="0" w:space="0"/>
            <w:right w:val="none" w:sz="0" w:space="0"/>
          </w:pgBorders>
          <w:pgNumType w:fmt="decimal" w:chapStyle="1"/>
          <w:cols w:space="0" w:num="1"/>
          <w:rtlGutter w:val="0"/>
          <w:docGrid w:linePitch="381" w:charSpace="0"/>
        </w:sectPr>
      </w:pPr>
    </w:p>
    <w:p>
      <w:pPr>
        <w:kinsoku/>
        <w:wordWrap/>
        <w:overflowPunct/>
        <w:topLinePunct w:val="0"/>
        <w:autoSpaceDE/>
        <w:autoSpaceDN/>
        <w:bidi w:val="0"/>
        <w:spacing w:line="500" w:lineRule="exact"/>
        <w:rPr>
          <w:rFonts w:hint="eastAsia" w:ascii="仿宋" w:eastAsia="仿宋" w:cs="仿宋"/>
          <w:sz w:val="32"/>
          <w:szCs w:val="32"/>
          <w:lang w:eastAsia="zh-CN" w:bidi="ar-SA"/>
        </w:rPr>
      </w:pPr>
      <w:bookmarkStart w:id="91" w:name="_Toc24799"/>
      <w:r>
        <w:rPr>
          <w:rFonts w:hint="eastAsia" w:ascii="仿宋" w:eastAsia="仿宋" w:cs="仿宋"/>
          <w:sz w:val="32"/>
          <w:szCs w:val="32"/>
          <w:lang w:eastAsia="zh-CN" w:bidi="ar-SA"/>
        </w:rPr>
        <w:t>7.2.</w:t>
      </w:r>
      <w:r>
        <w:rPr>
          <w:rFonts w:hint="eastAsia" w:ascii="仿宋" w:eastAsia="仿宋" w:cs="仿宋"/>
          <w:sz w:val="32"/>
          <w:szCs w:val="32"/>
          <w:lang w:val="en-US" w:eastAsia="zh-CN" w:bidi="ar-SA"/>
        </w:rPr>
        <w:t>2</w:t>
      </w:r>
      <w:r>
        <w:rPr>
          <w:rFonts w:hint="eastAsia" w:ascii="仿宋" w:eastAsia="仿宋" w:cs="仿宋"/>
          <w:sz w:val="32"/>
          <w:szCs w:val="32"/>
          <w:lang w:eastAsia="zh-CN" w:bidi="ar-SA"/>
        </w:rPr>
        <w:t>直接效益</w:t>
      </w:r>
    </w:p>
    <w:p>
      <w:pPr>
        <w:kinsoku/>
        <w:wordWrap/>
        <w:overflowPunct/>
        <w:topLinePunct w:val="0"/>
        <w:autoSpaceDE/>
        <w:autoSpaceDN/>
        <w:bidi w:val="0"/>
        <w:spacing w:line="500" w:lineRule="exact"/>
        <w:ind w:left="0"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通过项目实施，能进一步带动本地区养殖业发展，促进当地产业发展，通过项目资产对外承包等方式项目所在社区获得收益，能增加社区集体收入，发展壮大村集体经济。项目运行一年后村集体分红比例5%。</w:t>
      </w:r>
    </w:p>
    <w:p>
      <w:pPr>
        <w:kinsoku/>
        <w:wordWrap/>
        <w:overflowPunct/>
        <w:topLinePunct w:val="0"/>
        <w:autoSpaceDE/>
        <w:autoSpaceDN/>
        <w:bidi w:val="0"/>
        <w:spacing w:line="500" w:lineRule="exact"/>
        <w:rPr>
          <w:rFonts w:ascii="仿宋" w:hAnsi="仿宋" w:eastAsia="仿宋" w:cs="仿宋"/>
          <w:sz w:val="32"/>
          <w:szCs w:val="32"/>
        </w:rPr>
      </w:pPr>
      <w:r>
        <w:rPr>
          <w:rFonts w:hint="eastAsia" w:ascii="仿宋" w:hAnsi="仿宋" w:eastAsia="仿宋" w:cs="仿宋"/>
          <w:sz w:val="32"/>
          <w:szCs w:val="32"/>
          <w:lang w:val="en-US" w:eastAsia="zh-CN"/>
        </w:rPr>
        <w:t>7.2.3</w:t>
      </w:r>
      <w:r>
        <w:rPr>
          <w:rFonts w:hint="eastAsia" w:ascii="仿宋" w:hAnsi="仿宋" w:eastAsia="仿宋" w:cs="仿宋"/>
          <w:sz w:val="32"/>
          <w:szCs w:val="32"/>
        </w:rPr>
        <w:t>间接效益</w:t>
      </w:r>
      <w:bookmarkEnd w:id="91"/>
    </w:p>
    <w:p>
      <w:pPr>
        <w:kinsoku/>
        <w:wordWrap/>
        <w:overflowPunct/>
        <w:topLinePunct w:val="0"/>
        <w:autoSpaceDE/>
        <w:autoSpaceDN/>
        <w:bidi w:val="0"/>
        <w:spacing w:line="500" w:lineRule="exact"/>
        <w:ind w:left="0"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项目</w:t>
      </w:r>
      <w:r>
        <w:rPr>
          <w:rFonts w:hint="eastAsia" w:ascii="仿宋" w:eastAsia="仿宋" w:cs="仿宋"/>
          <w:sz w:val="32"/>
          <w:szCs w:val="32"/>
          <w:lang w:eastAsia="zh-CN" w:bidi="ar-SA"/>
        </w:rPr>
        <w:t>在建设实施期间可提供本地区居民就业机会和就业人数，从而增加居民收入和就业机会。</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92" w:name="_Toc2937"/>
      <w:bookmarkStart w:id="93" w:name="_Toc9761"/>
      <w:r>
        <w:rPr>
          <w:rFonts w:hint="eastAsia" w:ascii="楷体_GB2312" w:hAnsi="楷体_GB2312" w:eastAsia="楷体_GB2312" w:cs="楷体_GB2312"/>
          <w:sz w:val="32"/>
          <w:szCs w:val="32"/>
          <w:lang w:val="en-US" w:eastAsia="zh-CN"/>
        </w:rPr>
        <w:t>7.3社会效益</w:t>
      </w:r>
      <w:bookmarkEnd w:id="92"/>
      <w:bookmarkEnd w:id="93"/>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1、项目的建设改善了项目区居民的生产条件，对加快</w:t>
      </w:r>
      <w:r>
        <w:rPr>
          <w:rFonts w:hint="eastAsia" w:ascii="仿宋" w:eastAsia="仿宋" w:cs="仿宋"/>
          <w:sz w:val="32"/>
          <w:szCs w:val="32"/>
          <w:lang w:val="en-US" w:eastAsia="zh-CN" w:bidi="ar-SA"/>
        </w:rPr>
        <w:t>畜牧业</w:t>
      </w:r>
      <w:r>
        <w:rPr>
          <w:rFonts w:hint="eastAsia" w:ascii="仿宋" w:eastAsia="仿宋" w:cs="仿宋"/>
          <w:sz w:val="32"/>
          <w:szCs w:val="32"/>
          <w:lang w:eastAsia="zh-CN" w:bidi="ar-SA"/>
        </w:rPr>
        <w:t>发展，改善项目区生活条件等有着积极的作用和意义。</w:t>
      </w:r>
      <w:r>
        <w:rPr>
          <w:rFonts w:hint="eastAsia" w:ascii="仿宋" w:eastAsia="仿宋" w:cs="仿宋"/>
          <w:sz w:val="32"/>
          <w:szCs w:val="32"/>
          <w:lang w:val="en-US" w:eastAsia="zh-CN" w:bidi="ar-SA"/>
        </w:rPr>
        <w:t>受益村民人口数2750人。</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2、项目的建设，可以满足塔城市</w:t>
      </w:r>
      <w:r>
        <w:rPr>
          <w:rFonts w:hint="eastAsia" w:ascii="仿宋" w:eastAsia="仿宋" w:cs="仿宋"/>
          <w:sz w:val="32"/>
          <w:szCs w:val="32"/>
          <w:lang w:val="en-US" w:eastAsia="zh-CN" w:bidi="ar-SA"/>
        </w:rPr>
        <w:t>二工镇养殖业</w:t>
      </w:r>
      <w:r>
        <w:rPr>
          <w:rFonts w:hint="eastAsia" w:ascii="仿宋" w:eastAsia="仿宋" w:cs="仿宋"/>
          <w:sz w:val="32"/>
          <w:szCs w:val="32"/>
          <w:lang w:eastAsia="zh-CN" w:bidi="ar-SA"/>
        </w:rPr>
        <w:t>经济发展对基础设施环境条件改变的要求。</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3、项目的建设，可改善项目区周边环境，促进塔城市</w:t>
      </w:r>
      <w:r>
        <w:rPr>
          <w:rFonts w:hint="eastAsia" w:ascii="仿宋" w:eastAsia="仿宋" w:cs="仿宋"/>
          <w:sz w:val="32"/>
          <w:szCs w:val="32"/>
          <w:lang w:val="en-US" w:eastAsia="zh-CN" w:bidi="ar-SA"/>
        </w:rPr>
        <w:t>二工镇五个社区产业</w:t>
      </w:r>
      <w:r>
        <w:rPr>
          <w:rFonts w:hint="eastAsia" w:ascii="仿宋" w:eastAsia="仿宋" w:cs="仿宋"/>
          <w:sz w:val="32"/>
          <w:szCs w:val="32"/>
          <w:lang w:eastAsia="zh-CN" w:bidi="ar-SA"/>
        </w:rPr>
        <w:t>进发展。</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根据建设项目对社会的影响分析、项目与所在地区互适性分析和社会风险分析，可以看出，本项目建成后，将</w:t>
      </w:r>
      <w:r>
        <w:rPr>
          <w:rFonts w:hint="eastAsia" w:ascii="仿宋" w:eastAsia="仿宋" w:cs="仿宋"/>
          <w:sz w:val="32"/>
          <w:szCs w:val="32"/>
          <w:lang w:val="en-US" w:eastAsia="zh-CN" w:bidi="ar-SA"/>
        </w:rPr>
        <w:t>有效增加塔城市二工镇五个社区集体经济收益</w:t>
      </w:r>
      <w:r>
        <w:rPr>
          <w:rFonts w:hint="eastAsia" w:ascii="仿宋" w:eastAsia="仿宋" w:cs="仿宋"/>
          <w:sz w:val="32"/>
          <w:szCs w:val="32"/>
          <w:lang w:eastAsia="zh-CN" w:bidi="ar-SA"/>
        </w:rPr>
        <w:t>，提升</w:t>
      </w:r>
      <w:r>
        <w:rPr>
          <w:rFonts w:hint="eastAsia" w:ascii="仿宋" w:eastAsia="仿宋" w:cs="仿宋"/>
          <w:sz w:val="32"/>
          <w:szCs w:val="32"/>
          <w:lang w:val="en-US" w:eastAsia="zh-CN" w:bidi="ar-SA"/>
        </w:rPr>
        <w:t>当地</w:t>
      </w:r>
      <w:r>
        <w:rPr>
          <w:rFonts w:hint="eastAsia" w:ascii="仿宋" w:eastAsia="仿宋" w:cs="仿宋"/>
          <w:sz w:val="32"/>
          <w:szCs w:val="32"/>
          <w:lang w:eastAsia="zh-CN" w:bidi="ar-SA"/>
        </w:rPr>
        <w:t>政府党政机关形象，为</w:t>
      </w:r>
      <w:r>
        <w:rPr>
          <w:rFonts w:hint="eastAsia" w:ascii="仿宋" w:eastAsia="仿宋" w:cs="仿宋"/>
          <w:sz w:val="32"/>
          <w:szCs w:val="32"/>
          <w:lang w:val="en-US" w:eastAsia="zh-CN" w:bidi="ar-SA"/>
        </w:rPr>
        <w:t>养殖业</w:t>
      </w:r>
      <w:r>
        <w:rPr>
          <w:rFonts w:hint="eastAsia" w:ascii="仿宋" w:eastAsia="仿宋" w:cs="仿宋"/>
          <w:sz w:val="32"/>
          <w:szCs w:val="32"/>
          <w:lang w:eastAsia="zh-CN" w:bidi="ar-SA"/>
        </w:rPr>
        <w:t>发展夯实基础。</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本次建设项目具有显著的经济效益，必定备受多方关注和支持，虽然在建设过程甚至运营期间都会产生一些负面影响，但是，只要措施得当，一定能将负面影响降到最低，使其正面影响最大化，实现项目建设的最终目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综合多方位的调查研究得出结论，本项目功能与项目区的社会和经济发展水平相适应，具有较好的社会效益及经济效益，项目的社会评价可行。</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94" w:name="_Toc31084"/>
      <w:bookmarkStart w:id="95" w:name="_Toc28564"/>
      <w:r>
        <w:rPr>
          <w:rFonts w:hint="eastAsia" w:ascii="楷体_GB2312" w:hAnsi="楷体_GB2312" w:eastAsia="楷体_GB2312" w:cs="楷体_GB2312"/>
          <w:sz w:val="32"/>
          <w:szCs w:val="32"/>
          <w:lang w:val="en-US" w:eastAsia="zh-CN"/>
        </w:rPr>
        <w:t>7.4可持续性影响</w:t>
      </w:r>
      <w:bookmarkEnd w:id="94"/>
      <w:bookmarkEnd w:id="95"/>
    </w:p>
    <w:p>
      <w:pPr>
        <w:kinsoku/>
        <w:wordWrap/>
        <w:overflowPunct/>
        <w:topLinePunct w:val="0"/>
        <w:autoSpaceDE/>
        <w:autoSpaceDN/>
        <w:bidi w:val="0"/>
        <w:spacing w:line="500" w:lineRule="exact"/>
        <w:ind w:left="0" w:firstLine="640" w:firstLineChars="200"/>
        <w:rPr>
          <w:rFonts w:hint="eastAsia" w:ascii="仿宋" w:eastAsia="仿宋" w:cs="仿宋" w:hAnsiTheme="minorHAnsi"/>
          <w:kern w:val="2"/>
          <w:sz w:val="32"/>
          <w:szCs w:val="32"/>
          <w:lang w:val="en-US" w:eastAsia="zh-CN" w:bidi="ar-SA"/>
        </w:rPr>
      </w:pPr>
      <w:r>
        <w:rPr>
          <w:rFonts w:hint="eastAsia" w:ascii="仿宋" w:hAnsi="Times New Roman" w:eastAsia="仿宋" w:cs="仿宋"/>
          <w:bCs/>
          <w:sz w:val="32"/>
          <w:szCs w:val="32"/>
          <w:lang w:val="en-US" w:eastAsia="zh-CN" w:bidi="ar-SA"/>
        </w:rPr>
        <w:t>塔城市二工镇五个社区暖圈建设项目</w:t>
      </w:r>
      <w:r>
        <w:rPr>
          <w:rFonts w:hint="eastAsia" w:ascii="仿宋" w:eastAsia="仿宋" w:cs="仿宋" w:hAnsiTheme="minorHAnsi"/>
          <w:kern w:val="2"/>
          <w:sz w:val="32"/>
          <w:szCs w:val="32"/>
          <w:lang w:val="en-US" w:eastAsia="zh-CN" w:bidi="ar-SA"/>
        </w:rPr>
        <w:t>，改善了</w:t>
      </w:r>
      <w:r>
        <w:rPr>
          <w:rFonts w:hint="eastAsia" w:ascii="仿宋" w:eastAsia="仿宋" w:cs="仿宋"/>
          <w:kern w:val="2"/>
          <w:sz w:val="32"/>
          <w:szCs w:val="32"/>
          <w:lang w:val="en-US" w:eastAsia="zh-CN" w:bidi="ar-SA"/>
        </w:rPr>
        <w:t>二工镇五个社区产业发展，壮大社区集体经济</w:t>
      </w:r>
      <w:r>
        <w:rPr>
          <w:rFonts w:hint="eastAsia" w:ascii="仿宋" w:eastAsia="仿宋" w:cs="仿宋" w:hAnsiTheme="minorHAnsi"/>
          <w:kern w:val="2"/>
          <w:sz w:val="32"/>
          <w:szCs w:val="32"/>
          <w:lang w:val="en-US" w:eastAsia="zh-CN" w:bidi="ar-SA"/>
        </w:rPr>
        <w:t>，改善了</w:t>
      </w:r>
      <w:r>
        <w:rPr>
          <w:rFonts w:hint="eastAsia" w:ascii="仿宋" w:eastAsia="仿宋" w:cs="仿宋"/>
          <w:kern w:val="2"/>
          <w:sz w:val="32"/>
          <w:szCs w:val="32"/>
          <w:lang w:val="en-US" w:eastAsia="zh-CN" w:bidi="ar-SA"/>
        </w:rPr>
        <w:t>当地牧民</w:t>
      </w:r>
      <w:r>
        <w:rPr>
          <w:rFonts w:hint="eastAsia" w:ascii="仿宋" w:eastAsia="仿宋" w:cs="仿宋" w:hAnsiTheme="minorHAnsi"/>
          <w:kern w:val="2"/>
          <w:sz w:val="32"/>
          <w:szCs w:val="32"/>
          <w:lang w:val="en-US" w:eastAsia="zh-CN" w:bidi="ar-SA"/>
        </w:rPr>
        <w:t>生活条件，提升了项目区整体形象，促进了当地经济的增长，是顺应民意，体现以人为本，落实科学发展观，构建和谐社会，确保项目区社会经济可持续发展的重要举措。</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第一，有助于促进当地</w:t>
      </w:r>
      <w:r>
        <w:rPr>
          <w:rFonts w:hint="eastAsia" w:ascii="仿宋" w:hAnsi="仿宋" w:eastAsia="仿宋" w:cs="仿宋"/>
          <w:color w:val="auto"/>
          <w:sz w:val="32"/>
          <w:szCs w:val="32"/>
          <w:lang w:val="en-US" w:eastAsia="zh-CN"/>
        </w:rPr>
        <w:t>养殖业</w:t>
      </w:r>
      <w:r>
        <w:rPr>
          <w:rFonts w:hint="eastAsia" w:ascii="仿宋" w:hAnsi="仿宋" w:eastAsia="仿宋" w:cs="仿宋"/>
          <w:color w:val="auto"/>
          <w:sz w:val="32"/>
          <w:szCs w:val="32"/>
        </w:rPr>
        <w:t>发展。加快</w:t>
      </w:r>
      <w:r>
        <w:rPr>
          <w:rFonts w:hint="eastAsia" w:ascii="仿宋" w:hAnsi="仿宋" w:eastAsia="仿宋" w:cs="仿宋"/>
          <w:color w:val="auto"/>
          <w:sz w:val="32"/>
          <w:szCs w:val="32"/>
          <w:lang w:val="en-US" w:eastAsia="zh-CN"/>
        </w:rPr>
        <w:t>养殖业</w:t>
      </w:r>
      <w:r>
        <w:rPr>
          <w:rFonts w:hint="eastAsia" w:ascii="仿宋" w:hAnsi="仿宋" w:eastAsia="仿宋" w:cs="仿宋"/>
          <w:color w:val="auto"/>
          <w:sz w:val="32"/>
          <w:szCs w:val="32"/>
        </w:rPr>
        <w:t>基础设施建设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有助于</w:t>
      </w:r>
      <w:r>
        <w:rPr>
          <w:rFonts w:hint="eastAsia" w:ascii="仿宋" w:hAnsi="仿宋" w:eastAsia="仿宋" w:cs="仿宋"/>
          <w:color w:val="auto"/>
          <w:sz w:val="32"/>
          <w:szCs w:val="32"/>
          <w:lang w:val="en-US" w:eastAsia="zh-CN"/>
        </w:rPr>
        <w:t>畜牧业</w:t>
      </w:r>
      <w:r>
        <w:rPr>
          <w:rFonts w:hint="eastAsia" w:ascii="仿宋" w:hAnsi="仿宋" w:eastAsia="仿宋" w:cs="仿宋"/>
          <w:color w:val="auto"/>
          <w:sz w:val="32"/>
          <w:szCs w:val="32"/>
        </w:rPr>
        <w:t>向前发展，对</w:t>
      </w:r>
      <w:r>
        <w:rPr>
          <w:rFonts w:hint="eastAsia" w:ascii="仿宋" w:hAnsi="仿宋" w:eastAsia="仿宋" w:cs="仿宋"/>
          <w:color w:val="auto"/>
          <w:sz w:val="32"/>
          <w:szCs w:val="32"/>
          <w:lang w:val="en-US" w:eastAsia="zh-CN"/>
        </w:rPr>
        <w:t>当地集体经济</w:t>
      </w:r>
      <w:r>
        <w:rPr>
          <w:rFonts w:hint="eastAsia" w:ascii="仿宋" w:hAnsi="仿宋" w:eastAsia="仿宋" w:cs="仿宋"/>
          <w:color w:val="auto"/>
          <w:sz w:val="32"/>
          <w:szCs w:val="32"/>
        </w:rPr>
        <w:t>发展具有显著推动效应。</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第二，有助于促进</w:t>
      </w:r>
      <w:r>
        <w:rPr>
          <w:rFonts w:hint="eastAsia" w:ascii="仿宋" w:hAnsi="仿宋" w:eastAsia="仿宋" w:cs="仿宋"/>
          <w:color w:val="auto"/>
          <w:sz w:val="32"/>
          <w:szCs w:val="32"/>
          <w:lang w:val="en-US" w:eastAsia="zh-CN"/>
        </w:rPr>
        <w:t>牧民</w:t>
      </w:r>
      <w:r>
        <w:rPr>
          <w:rFonts w:hint="eastAsia" w:ascii="仿宋" w:hAnsi="仿宋" w:eastAsia="仿宋" w:cs="仿宋"/>
          <w:color w:val="auto"/>
          <w:sz w:val="32"/>
          <w:szCs w:val="32"/>
        </w:rPr>
        <w:t>增收。在我国三农问题之中，农民增收问题是重中之重问题，通过加快农村基础设施建设可以为农民增收创造良好条件。除此之外，由于当前我国人均耕地较少，土地给农民所带来的收益非常有限，这也是影响农民增收的一个重要原因。通过加强基础设施建设有助于不断提升农民增收能力，使农民的增收渠道逐步增加。</w:t>
      </w:r>
    </w:p>
    <w:p>
      <w:pPr>
        <w:spacing w:line="560" w:lineRule="exact"/>
        <w:ind w:firstLine="640" w:firstLineChars="200"/>
        <w:rPr>
          <w:rFonts w:hint="eastAsia"/>
          <w:sz w:val="32"/>
          <w:szCs w:val="32"/>
        </w:rPr>
      </w:pPr>
      <w:r>
        <w:rPr>
          <w:rFonts w:hint="eastAsia" w:ascii="仿宋" w:hAnsi="仿宋" w:eastAsia="仿宋" w:cs="仿宋"/>
          <w:color w:val="auto"/>
          <w:sz w:val="32"/>
          <w:szCs w:val="32"/>
        </w:rPr>
        <w:t>第三，有助于促进</w:t>
      </w:r>
      <w:r>
        <w:rPr>
          <w:rFonts w:hint="eastAsia" w:ascii="仿宋" w:hAnsi="仿宋" w:eastAsia="仿宋" w:cs="仿宋"/>
          <w:color w:val="auto"/>
          <w:sz w:val="32"/>
          <w:szCs w:val="32"/>
          <w:lang w:val="en-US" w:eastAsia="zh-CN"/>
        </w:rPr>
        <w:t>畜牧业</w:t>
      </w:r>
      <w:r>
        <w:rPr>
          <w:rFonts w:hint="eastAsia" w:ascii="仿宋" w:hAnsi="仿宋" w:eastAsia="仿宋" w:cs="仿宋"/>
          <w:color w:val="auto"/>
          <w:sz w:val="32"/>
          <w:szCs w:val="32"/>
        </w:rPr>
        <w:t>现代化。任何一项经济要实现增长都离不开协调发展，当城镇化在达到一定程度之后必然会反哺农村，良好的农村基础设施建设也体现</w:t>
      </w:r>
      <w:bookmarkStart w:id="255" w:name="_GoBack"/>
      <w:bookmarkEnd w:id="255"/>
      <w:r>
        <w:rPr>
          <w:rFonts w:hint="eastAsia" w:ascii="仿宋" w:hAnsi="仿宋" w:eastAsia="仿宋" w:cs="仿宋"/>
          <w:color w:val="auto"/>
          <w:sz w:val="32"/>
          <w:szCs w:val="32"/>
        </w:rPr>
        <w:t>了当前我国文明向农村不断拓展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项目设计使用年限可达15年，</w:t>
      </w:r>
      <w:r>
        <w:rPr>
          <w:rFonts w:hint="eastAsia" w:ascii="仿宋" w:hAnsi="仿宋" w:eastAsia="仿宋" w:cs="仿宋"/>
          <w:color w:val="auto"/>
          <w:sz w:val="32"/>
          <w:szCs w:val="32"/>
        </w:rPr>
        <w:t>通过良好农村基础设施建设有助于进一步加快农村现代化，有助于缩小城乡差距，有助于使广大农民更好的分享发展经济成果。</w:t>
      </w:r>
      <w:bookmarkStart w:id="96" w:name="_Toc26017_WPSOffice_Level2"/>
      <w:bookmarkStart w:id="97" w:name="_Toc19893_WPSOffice_Level2"/>
    </w:p>
    <w:bookmarkEnd w:id="96"/>
    <w:bookmarkEnd w:id="97"/>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98" w:name="_Toc23393"/>
      <w:bookmarkStart w:id="99" w:name="_Toc21091"/>
      <w:bookmarkStart w:id="100" w:name="_Toc2621"/>
      <w:r>
        <w:rPr>
          <w:rFonts w:hint="eastAsia" w:ascii="黑体" w:hAnsi="黑体" w:eastAsia="黑体" w:cs="黑体"/>
          <w:b w:val="0"/>
          <w:bCs w:val="0"/>
          <w:sz w:val="32"/>
          <w:szCs w:val="32"/>
          <w:lang w:val="en-US" w:eastAsia="zh-CN"/>
        </w:rPr>
        <w:t>8.风险分析</w:t>
      </w:r>
      <w:bookmarkEnd w:id="98"/>
      <w:bookmarkEnd w:id="99"/>
      <w:bookmarkEnd w:id="100"/>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1" w:name="_Toc20426"/>
      <w:bookmarkStart w:id="102" w:name="_Toc15301"/>
      <w:bookmarkStart w:id="103" w:name="_Toc15240"/>
      <w:bookmarkStart w:id="104" w:name="_Toc26072"/>
      <w:bookmarkStart w:id="105" w:name="_Toc7155"/>
      <w:r>
        <w:rPr>
          <w:rFonts w:hint="eastAsia" w:ascii="楷体_GB2312" w:hAnsi="楷体_GB2312" w:eastAsia="楷体_GB2312" w:cs="楷体_GB2312"/>
          <w:sz w:val="32"/>
          <w:szCs w:val="32"/>
          <w:lang w:val="en-US" w:eastAsia="zh-CN"/>
        </w:rPr>
        <w:t>8.1影响项目风险因素</w:t>
      </w:r>
      <w:bookmarkEnd w:id="101"/>
      <w:bookmarkEnd w:id="102"/>
      <w:bookmarkEnd w:id="103"/>
      <w:bookmarkEnd w:id="104"/>
      <w:bookmarkEnd w:id="105"/>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1.业主方自身管理风险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在项目实施阶段，从业主方考虑，要注意防范人为风险、经济风险、自然风险这三大自身风险：</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人为风险表现为不懂得基建程序，不遵循客观规律，导致决策偏差，行为不规范，对监理认识上的缺陷带来诸多问题等；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项目经济风险表现为工程资金不到位，资金使用效率较低，经济环境、通货膨胀导致物价变动等；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自然风险表现为工程所在地客观存在意外情况。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2.项目建设参与单位诚信风险分析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在项目建设过程中，政府以及委托的项目管理公司要与设计单位、监理单位、总承包商、材料设备供应商等多个单位进行合作，合作过程中面临参建单位诚信风险，表现为：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（1）项目设计单位在设计中指定所需材料，设备，变相增加投资成本；设计单位设计中不优化设计，设计过于保守，导致增加投资成本；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（2）监理单位对项目监督不力，管理不善，控制不严；监理单位与承包商、材料供应商进行相互串通，蒙骗业主；监理单位聘用的临时人员业务水平差，工作缺乏主动性等；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（3）总承包商是挂靠资质，名不副实；对项目往往进行层层分包或者转包，资金稍有拖欠，就停工；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（4）材料设备供货商货物以假乱真，以次充好；对设备关键部位进行更换，降低造价，失去诚信。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3.商务合同风险分析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合同是业主与各参建单位签订的双方权利与义务关系的协议，是为顺利完成一个项目的有效保障，但是，其操作过程存在着各种各样的风险：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是在对特殊工程进行指令分包时，指令分包单位只跟业主方签订合同，没有和总承包商签订合同，导致项目在施工过程中容易产生扯皮推诿风险；二是合同主体资格前后不一致，招标时以总公司名义投标，而签订合同时是其下属公司签订；三是合同中对结算方式、增减项的执行单价约定不明显。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4.项目资金、质量和进度风险分析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项目在实施阶段，要预防资金、质量、进度三大风险，其中：资金风险表现为政府划拨资金不到位，资金被业主方截留或者挪用，承包商把资金挪为它用等；质量风险表现为施工工艺不合格导致工程质量问题，施工方偷工减料，材料不合格导致质量问题等；进度风险表现施工方没有按时完成预期进度，项目不能按时投入使用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5.安全风险分析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项目实施阶段，高处作业、地质条件、环境因素、设备条件以及成品材料条件等五大因素都有可能造成安全事故，这是施工生产的固有安全因素，其中最重要的一个安全因素就是“人”，安全意识淡薄。</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6" w:name="_Toc16185"/>
      <w:bookmarkStart w:id="107" w:name="_Toc14432"/>
      <w:bookmarkStart w:id="108" w:name="_Toc30556"/>
      <w:bookmarkStart w:id="109" w:name="_Toc1018"/>
      <w:bookmarkStart w:id="110" w:name="_Toc31009"/>
      <w:r>
        <w:rPr>
          <w:rFonts w:hint="eastAsia" w:ascii="楷体_GB2312" w:hAnsi="楷体_GB2312" w:eastAsia="楷体_GB2312" w:cs="楷体_GB2312"/>
          <w:sz w:val="32"/>
          <w:szCs w:val="32"/>
          <w:lang w:val="en-US" w:eastAsia="zh-CN"/>
        </w:rPr>
        <w:t>8.2风险防控措施</w:t>
      </w:r>
      <w:bookmarkEnd w:id="106"/>
      <w:bookmarkEnd w:id="107"/>
      <w:bookmarkEnd w:id="108"/>
      <w:bookmarkEnd w:id="109"/>
      <w:bookmarkEnd w:id="110"/>
    </w:p>
    <w:p>
      <w:pPr>
        <w:spacing w:line="600" w:lineRule="exact"/>
        <w:ind w:firstLine="640" w:firstLineChars="200"/>
        <w:outlineLvl w:val="9"/>
        <w:rPr>
          <w:rFonts w:hint="eastAsia" w:ascii="仿宋" w:hAnsi="仿宋" w:eastAsia="仿宋" w:cs="仿宋"/>
          <w:color w:val="auto"/>
          <w:sz w:val="32"/>
          <w:szCs w:val="32"/>
        </w:rPr>
      </w:pPr>
      <w:bookmarkStart w:id="111" w:name="_Toc70682573"/>
      <w:bookmarkStart w:id="112" w:name="_Toc9204"/>
      <w:bookmarkStart w:id="113" w:name="_Toc74258612"/>
      <w:bookmarkStart w:id="114" w:name="_Toc79051145"/>
      <w:bookmarkStart w:id="115" w:name="_Toc30619"/>
      <w:r>
        <w:rPr>
          <w:rFonts w:hint="eastAsia" w:ascii="仿宋" w:hAnsi="仿宋" w:eastAsia="仿宋" w:cs="仿宋"/>
          <w:color w:val="auto"/>
          <w:sz w:val="32"/>
          <w:szCs w:val="32"/>
        </w:rPr>
        <w:t>1.业主方自身管理风险防范对策</w:t>
      </w:r>
      <w:bookmarkEnd w:id="111"/>
      <w:bookmarkEnd w:id="112"/>
      <w:bookmarkEnd w:id="113"/>
      <w:bookmarkEnd w:id="114"/>
      <w:bookmarkEnd w:id="115"/>
    </w:p>
    <w:p>
      <w:pPr>
        <w:spacing w:line="600" w:lineRule="exact"/>
        <w:ind w:firstLine="640" w:firstLineChars="200"/>
        <w:outlineLvl w:val="9"/>
        <w:rPr>
          <w:rFonts w:hint="eastAsia" w:ascii="仿宋" w:hAnsi="仿宋" w:eastAsia="仿宋" w:cs="仿宋"/>
          <w:color w:val="auto"/>
          <w:sz w:val="32"/>
          <w:szCs w:val="32"/>
        </w:rPr>
      </w:pPr>
      <w:bookmarkStart w:id="116" w:name="_Toc79051146"/>
      <w:bookmarkStart w:id="117" w:name="_Toc29173"/>
      <w:bookmarkStart w:id="118" w:name="_Toc31122"/>
      <w:bookmarkStart w:id="119" w:name="_Toc70682574"/>
      <w:bookmarkStart w:id="120" w:name="_Toc74258613"/>
      <w:r>
        <w:rPr>
          <w:rFonts w:hint="eastAsia" w:ascii="仿宋" w:hAnsi="仿宋" w:eastAsia="仿宋" w:cs="仿宋"/>
          <w:color w:val="auto"/>
          <w:sz w:val="32"/>
          <w:szCs w:val="32"/>
        </w:rPr>
        <w:t>业主方自身的风险是滋生其他风险的基础，只有比较客观的认识自身的风险，才能防范其他风险的产生，防范自身风险对策，建议如下：</w:t>
      </w:r>
      <w:bookmarkEnd w:id="116"/>
      <w:bookmarkEnd w:id="117"/>
      <w:bookmarkEnd w:id="118"/>
      <w:bookmarkEnd w:id="119"/>
      <w:bookmarkEnd w:id="12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21" w:name="_Toc74258614"/>
      <w:bookmarkStart w:id="122" w:name="_Toc79051147"/>
      <w:bookmarkStart w:id="123" w:name="_Toc5429"/>
      <w:bookmarkStart w:id="124" w:name="_Toc70682575"/>
      <w:bookmarkStart w:id="125" w:name="_Toc10758"/>
      <w:r>
        <w:rPr>
          <w:rFonts w:hint="eastAsia" w:ascii="仿宋" w:hAnsi="仿宋" w:eastAsia="仿宋" w:cs="仿宋"/>
          <w:color w:val="auto"/>
          <w:sz w:val="32"/>
          <w:szCs w:val="32"/>
        </w:rPr>
        <w:t>（1）对工程进行严格管理，如实行责任落实到具体个人制度，成立项目专家小组，进行每次大的决策，必须先由专家小组论证；</w:t>
      </w:r>
      <w:bookmarkEnd w:id="121"/>
      <w:bookmarkEnd w:id="122"/>
      <w:bookmarkEnd w:id="123"/>
      <w:bookmarkEnd w:id="124"/>
      <w:bookmarkEnd w:id="12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26" w:name="_Toc74258615"/>
      <w:bookmarkStart w:id="127" w:name="_Toc20210"/>
      <w:bookmarkStart w:id="128" w:name="_Toc70682576"/>
      <w:bookmarkStart w:id="129" w:name="_Toc79051148"/>
      <w:bookmarkStart w:id="130" w:name="_Toc1343"/>
      <w:r>
        <w:rPr>
          <w:rFonts w:hint="eastAsia" w:ascii="仿宋" w:hAnsi="仿宋" w:eastAsia="仿宋" w:cs="仿宋"/>
          <w:color w:val="auto"/>
          <w:sz w:val="32"/>
          <w:szCs w:val="32"/>
        </w:rPr>
        <w:t>（2）项目实施过程中，业主方委托社会监理单位及政府代表全过程进行监督，规范其建设行为；</w:t>
      </w:r>
      <w:bookmarkEnd w:id="126"/>
      <w:bookmarkEnd w:id="127"/>
      <w:bookmarkEnd w:id="128"/>
      <w:bookmarkEnd w:id="129"/>
      <w:bookmarkEnd w:id="13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31" w:name="_Toc79051149"/>
      <w:bookmarkStart w:id="132" w:name="_Toc74258616"/>
      <w:bookmarkStart w:id="133" w:name="_Toc13744"/>
      <w:bookmarkStart w:id="134" w:name="_Toc7873"/>
      <w:bookmarkStart w:id="135" w:name="_Toc70682577"/>
      <w:r>
        <w:rPr>
          <w:rFonts w:hint="eastAsia" w:ascii="仿宋" w:hAnsi="仿宋" w:eastAsia="仿宋" w:cs="仿宋"/>
          <w:color w:val="auto"/>
          <w:sz w:val="32"/>
          <w:szCs w:val="32"/>
        </w:rPr>
        <w:t>（3）防止在项目实施过程中资金超出预算，在项目建设前期进行科学分析，对影响造价较大的因素重点分析；</w:t>
      </w:r>
      <w:bookmarkEnd w:id="131"/>
      <w:bookmarkEnd w:id="132"/>
      <w:bookmarkEnd w:id="133"/>
      <w:bookmarkEnd w:id="134"/>
      <w:bookmarkEnd w:id="13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36" w:name="_Toc3917"/>
      <w:bookmarkStart w:id="137" w:name="_Toc14559"/>
      <w:bookmarkStart w:id="138" w:name="_Toc74258617"/>
      <w:bookmarkStart w:id="139" w:name="_Toc79051150"/>
      <w:bookmarkStart w:id="140" w:name="_Toc70682578"/>
      <w:r>
        <w:rPr>
          <w:rFonts w:hint="eastAsia" w:ascii="仿宋" w:hAnsi="仿宋" w:eastAsia="仿宋" w:cs="仿宋"/>
          <w:color w:val="auto"/>
          <w:sz w:val="32"/>
          <w:szCs w:val="32"/>
        </w:rPr>
        <w:t>（4）避免自然风险的影响，结合工程所在地实际情况加强对关键点的控制。</w:t>
      </w:r>
      <w:bookmarkEnd w:id="136"/>
      <w:bookmarkEnd w:id="137"/>
      <w:bookmarkEnd w:id="138"/>
      <w:bookmarkEnd w:id="139"/>
      <w:bookmarkEnd w:id="14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41" w:name="_Toc28480"/>
      <w:bookmarkStart w:id="142" w:name="_Toc79051151"/>
      <w:bookmarkStart w:id="143" w:name="_Toc2741"/>
      <w:bookmarkStart w:id="144" w:name="_Toc70682579"/>
      <w:bookmarkStart w:id="145" w:name="_Toc74258618"/>
      <w:r>
        <w:rPr>
          <w:rFonts w:hint="eastAsia" w:ascii="仿宋" w:hAnsi="仿宋" w:eastAsia="仿宋" w:cs="仿宋"/>
          <w:color w:val="auto"/>
          <w:sz w:val="32"/>
          <w:szCs w:val="32"/>
        </w:rPr>
        <w:t>2.诚信因素防范对策</w:t>
      </w:r>
      <w:bookmarkEnd w:id="141"/>
      <w:bookmarkEnd w:id="142"/>
      <w:bookmarkEnd w:id="143"/>
      <w:bookmarkEnd w:id="144"/>
      <w:bookmarkEnd w:id="14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46" w:name="_Toc79051152"/>
      <w:bookmarkStart w:id="147" w:name="_Toc74258619"/>
      <w:bookmarkStart w:id="148" w:name="_Toc70682580"/>
      <w:bookmarkStart w:id="149" w:name="_Toc10885"/>
      <w:bookmarkStart w:id="150" w:name="_Toc21505"/>
      <w:r>
        <w:rPr>
          <w:rFonts w:hint="eastAsia" w:ascii="仿宋" w:hAnsi="仿宋" w:eastAsia="仿宋" w:cs="仿宋"/>
          <w:color w:val="auto"/>
          <w:sz w:val="32"/>
          <w:szCs w:val="32"/>
        </w:rPr>
        <w:t>面对的不同参建单位，应采取不同的措施对有可能出现诚信问题的关键点进行防范：</w:t>
      </w:r>
      <w:bookmarkEnd w:id="146"/>
      <w:bookmarkEnd w:id="147"/>
      <w:bookmarkEnd w:id="148"/>
      <w:bookmarkEnd w:id="149"/>
      <w:bookmarkEnd w:id="15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51" w:name="_Toc79051153"/>
      <w:bookmarkStart w:id="152" w:name="_Toc26983"/>
      <w:bookmarkStart w:id="153" w:name="_Toc74258620"/>
      <w:bookmarkStart w:id="154" w:name="_Toc30461"/>
      <w:bookmarkStart w:id="155" w:name="_Toc70682581"/>
      <w:r>
        <w:rPr>
          <w:rFonts w:hint="eastAsia" w:ascii="仿宋" w:hAnsi="仿宋" w:eastAsia="仿宋" w:cs="仿宋"/>
          <w:color w:val="auto"/>
          <w:sz w:val="32"/>
          <w:szCs w:val="32"/>
        </w:rPr>
        <w:t>（1）面对设计单位，先进行建设方案的策划，提出可行的设计条件，作为合同的附属条件；项目施工图完成后，交图审中心进行全面审核，提升设计质量；施工招标之前，由业主、监理及相关使用单位先进行一次图纸会审，会审结果形成书面文件；施工单位进场后，参建单位再进行一次图纸会审；</w:t>
      </w:r>
      <w:bookmarkEnd w:id="151"/>
      <w:bookmarkEnd w:id="152"/>
      <w:bookmarkEnd w:id="153"/>
      <w:bookmarkEnd w:id="154"/>
      <w:bookmarkEnd w:id="15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56" w:name="_Toc5246"/>
      <w:bookmarkStart w:id="157" w:name="_Toc70682582"/>
      <w:bookmarkStart w:id="158" w:name="_Toc74258621"/>
      <w:bookmarkStart w:id="159" w:name="_Toc8060"/>
      <w:bookmarkStart w:id="160" w:name="_Toc79051154"/>
      <w:r>
        <w:rPr>
          <w:rFonts w:hint="eastAsia" w:ascii="仿宋" w:hAnsi="仿宋" w:eastAsia="仿宋" w:cs="仿宋"/>
          <w:color w:val="auto"/>
          <w:sz w:val="32"/>
          <w:szCs w:val="32"/>
        </w:rPr>
        <w:t>（2）选择监理公司时，对该公司的管理水平与公司业绩作为重点考察；选监理工程师，对其人品及个人业绩作为重点考察，并注重该人的沟通、协调能力；与同一地区的监理单位及时进行技术交流，找出差距，提升管理水平；</w:t>
      </w:r>
      <w:bookmarkEnd w:id="156"/>
      <w:bookmarkEnd w:id="157"/>
      <w:bookmarkEnd w:id="158"/>
      <w:bookmarkEnd w:id="159"/>
      <w:bookmarkEnd w:id="16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61" w:name="_Toc8732"/>
      <w:bookmarkStart w:id="162" w:name="_Toc70682583"/>
      <w:bookmarkStart w:id="163" w:name="_Toc79051155"/>
      <w:bookmarkStart w:id="164" w:name="_Toc74258622"/>
      <w:bookmarkStart w:id="165" w:name="_Toc21489"/>
      <w:r>
        <w:rPr>
          <w:rFonts w:hint="eastAsia" w:ascii="仿宋" w:hAnsi="仿宋" w:eastAsia="仿宋" w:cs="仿宋"/>
          <w:color w:val="auto"/>
          <w:sz w:val="32"/>
          <w:szCs w:val="32"/>
        </w:rPr>
        <w:t>（3）在思想上要重视项目，加强招标之前的资格预审，注重单位实体与业绩考察；业主方在预付款拨付时，要求承包商提供银行履约保函，防止转包或失信；</w:t>
      </w:r>
      <w:bookmarkEnd w:id="161"/>
      <w:bookmarkEnd w:id="162"/>
      <w:bookmarkEnd w:id="163"/>
      <w:bookmarkEnd w:id="164"/>
      <w:bookmarkEnd w:id="16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66" w:name="_Toc11169"/>
      <w:bookmarkStart w:id="167" w:name="_Toc79051156"/>
      <w:bookmarkStart w:id="168" w:name="_Toc70682584"/>
      <w:bookmarkStart w:id="169" w:name="_Toc21656"/>
      <w:bookmarkStart w:id="170" w:name="_Toc74258623"/>
      <w:r>
        <w:rPr>
          <w:rFonts w:hint="eastAsia" w:ascii="仿宋" w:hAnsi="仿宋" w:eastAsia="仿宋" w:cs="仿宋"/>
          <w:color w:val="auto"/>
          <w:sz w:val="32"/>
          <w:szCs w:val="32"/>
        </w:rPr>
        <w:t>（4）面对材料设备供应商，注重考察关键设备在工厂的监制，供货商参与设备就位及调试，并与设备款支付挂钩。</w:t>
      </w:r>
      <w:bookmarkEnd w:id="166"/>
      <w:bookmarkEnd w:id="167"/>
      <w:bookmarkEnd w:id="168"/>
      <w:bookmarkEnd w:id="169"/>
      <w:bookmarkEnd w:id="17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71" w:name="_Toc74258624"/>
      <w:bookmarkStart w:id="172" w:name="_Toc6635"/>
      <w:bookmarkStart w:id="173" w:name="_Toc70682585"/>
      <w:bookmarkStart w:id="174" w:name="_Toc16895"/>
      <w:bookmarkStart w:id="175" w:name="_Toc79051157"/>
      <w:r>
        <w:rPr>
          <w:rFonts w:hint="eastAsia" w:ascii="仿宋" w:hAnsi="仿宋" w:eastAsia="仿宋" w:cs="仿宋"/>
          <w:color w:val="auto"/>
          <w:sz w:val="32"/>
          <w:szCs w:val="32"/>
        </w:rPr>
        <w:t>3.商务合同风险防范对策</w:t>
      </w:r>
      <w:bookmarkEnd w:id="171"/>
      <w:bookmarkEnd w:id="172"/>
      <w:bookmarkEnd w:id="173"/>
      <w:bookmarkEnd w:id="174"/>
      <w:bookmarkEnd w:id="17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76" w:name="_Toc74258625"/>
      <w:bookmarkStart w:id="177" w:name="_Toc2222"/>
      <w:bookmarkStart w:id="178" w:name="_Toc79051158"/>
      <w:bookmarkStart w:id="179" w:name="_Toc70682586"/>
      <w:bookmarkStart w:id="180" w:name="_Toc3943"/>
      <w:r>
        <w:rPr>
          <w:rFonts w:hint="eastAsia" w:ascii="仿宋" w:hAnsi="仿宋" w:eastAsia="仿宋" w:cs="仿宋"/>
          <w:color w:val="auto"/>
          <w:sz w:val="32"/>
          <w:szCs w:val="32"/>
        </w:rPr>
        <w:t>业主方在起草合同条款时，应精心起草，从源头上开始研究可能发生的风险，避免风险产生。</w:t>
      </w:r>
      <w:bookmarkEnd w:id="176"/>
      <w:bookmarkEnd w:id="177"/>
      <w:bookmarkEnd w:id="178"/>
      <w:bookmarkEnd w:id="179"/>
      <w:bookmarkEnd w:id="18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81" w:name="_Toc628"/>
      <w:bookmarkStart w:id="182" w:name="_Toc74258626"/>
      <w:bookmarkStart w:id="183" w:name="_Toc14788"/>
      <w:bookmarkStart w:id="184" w:name="_Toc79051159"/>
      <w:bookmarkStart w:id="185" w:name="_Toc70682587"/>
      <w:r>
        <w:rPr>
          <w:rFonts w:hint="eastAsia" w:ascii="仿宋" w:hAnsi="仿宋" w:eastAsia="仿宋" w:cs="仿宋"/>
          <w:color w:val="auto"/>
          <w:sz w:val="32"/>
          <w:szCs w:val="32"/>
        </w:rPr>
        <w:t>（1）对于编制好招标文件，施工招标前，可先确定监理单位，然后业主方、监理方及设计方一起研究招标文件的细节；</w:t>
      </w:r>
      <w:bookmarkEnd w:id="181"/>
      <w:bookmarkEnd w:id="182"/>
      <w:bookmarkEnd w:id="183"/>
      <w:bookmarkEnd w:id="184"/>
      <w:bookmarkEnd w:id="18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86" w:name="_Toc10785"/>
      <w:bookmarkStart w:id="187" w:name="_Toc74258627"/>
      <w:bookmarkStart w:id="188" w:name="_Toc18590"/>
      <w:bookmarkStart w:id="189" w:name="_Toc70682588"/>
      <w:bookmarkStart w:id="190" w:name="_Toc79051160"/>
      <w:r>
        <w:rPr>
          <w:rFonts w:hint="eastAsia" w:ascii="仿宋" w:hAnsi="仿宋" w:eastAsia="仿宋" w:cs="仿宋"/>
          <w:color w:val="auto"/>
          <w:sz w:val="32"/>
          <w:szCs w:val="32"/>
        </w:rPr>
        <w:t>（2）规范付款程序，项目每一笔预付款先由承包方提出申请，附上完成的工程量报表，经监理审核，业主方代表把关，然后由业主方项目负责人审批；</w:t>
      </w:r>
      <w:bookmarkEnd w:id="186"/>
      <w:bookmarkEnd w:id="187"/>
      <w:bookmarkEnd w:id="188"/>
      <w:bookmarkEnd w:id="189"/>
      <w:bookmarkEnd w:id="19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91" w:name="_Toc24883"/>
      <w:bookmarkStart w:id="192" w:name="_Toc32394"/>
      <w:bookmarkStart w:id="193" w:name="_Toc79051161"/>
      <w:bookmarkStart w:id="194" w:name="_Toc70682589"/>
      <w:bookmarkStart w:id="195" w:name="_Toc74258628"/>
      <w:r>
        <w:rPr>
          <w:rFonts w:hint="eastAsia" w:ascii="仿宋" w:hAnsi="仿宋" w:eastAsia="仿宋" w:cs="仿宋"/>
          <w:color w:val="auto"/>
          <w:sz w:val="32"/>
          <w:szCs w:val="32"/>
        </w:rPr>
        <w:t>（3）加强投资动态控制，实现项目预控，随时检查投资变化，随时检查承包方的施工进度和质量情况，并注重监理方的行为变化，提高合同的执行质量。</w:t>
      </w:r>
      <w:bookmarkEnd w:id="191"/>
      <w:bookmarkEnd w:id="192"/>
      <w:bookmarkEnd w:id="193"/>
      <w:bookmarkEnd w:id="194"/>
      <w:bookmarkEnd w:id="19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96" w:name="_Toc70682590"/>
      <w:bookmarkStart w:id="197" w:name="_Toc15162"/>
      <w:bookmarkStart w:id="198" w:name="_Toc16304"/>
      <w:bookmarkStart w:id="199" w:name="_Toc79051162"/>
      <w:bookmarkStart w:id="200" w:name="_Toc74258629"/>
      <w:r>
        <w:rPr>
          <w:rFonts w:hint="eastAsia" w:ascii="仿宋" w:hAnsi="仿宋" w:eastAsia="仿宋" w:cs="仿宋"/>
          <w:color w:val="auto"/>
          <w:sz w:val="32"/>
          <w:szCs w:val="32"/>
        </w:rPr>
        <w:t>4.项目资金、质量和进度风险防范对策</w:t>
      </w:r>
      <w:bookmarkEnd w:id="196"/>
      <w:bookmarkEnd w:id="197"/>
      <w:bookmarkEnd w:id="198"/>
      <w:bookmarkEnd w:id="199"/>
      <w:bookmarkEnd w:id="20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01" w:name="_Toc70682591"/>
      <w:bookmarkStart w:id="202" w:name="_Toc10304"/>
      <w:bookmarkStart w:id="203" w:name="_Toc74258630"/>
      <w:bookmarkStart w:id="204" w:name="_Toc79051163"/>
      <w:bookmarkStart w:id="205" w:name="_Toc7953"/>
      <w:r>
        <w:rPr>
          <w:rFonts w:hint="eastAsia" w:ascii="仿宋" w:hAnsi="仿宋" w:eastAsia="仿宋" w:cs="仿宋"/>
          <w:color w:val="auto"/>
          <w:sz w:val="32"/>
          <w:szCs w:val="32"/>
        </w:rPr>
        <w:t>资金、质量、进度三大风险一脉相承，资金风险是导致质量、进度风险的基础。为了确保项目能顺利实施，防止三大风险产生，可制定相应的对策：</w:t>
      </w:r>
      <w:bookmarkEnd w:id="201"/>
      <w:bookmarkEnd w:id="202"/>
      <w:bookmarkEnd w:id="203"/>
      <w:bookmarkEnd w:id="204"/>
      <w:bookmarkEnd w:id="20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06" w:name="_Toc74258631"/>
      <w:bookmarkStart w:id="207" w:name="_Toc16034"/>
      <w:bookmarkStart w:id="208" w:name="_Toc31885"/>
      <w:bookmarkStart w:id="209" w:name="_Toc70682592"/>
      <w:bookmarkStart w:id="210" w:name="_Toc79051164"/>
      <w:r>
        <w:rPr>
          <w:rFonts w:hint="eastAsia" w:ascii="仿宋" w:hAnsi="仿宋" w:eastAsia="仿宋" w:cs="仿宋"/>
          <w:color w:val="auto"/>
          <w:sz w:val="32"/>
          <w:szCs w:val="32"/>
        </w:rPr>
        <w:t>（1）要抓好资金这一关键点，及时与政府部门沟通，保证工程款按时到位；成立工程款督察小组，对每一笔工程款支出严格审核等；</w:t>
      </w:r>
      <w:bookmarkEnd w:id="206"/>
      <w:bookmarkEnd w:id="207"/>
      <w:bookmarkEnd w:id="208"/>
      <w:bookmarkEnd w:id="209"/>
      <w:bookmarkEnd w:id="21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11" w:name="_Toc70682593"/>
      <w:bookmarkStart w:id="212" w:name="_Toc79051165"/>
      <w:bookmarkStart w:id="213" w:name="_Toc74258632"/>
      <w:bookmarkStart w:id="214" w:name="_Toc18299"/>
      <w:bookmarkStart w:id="215" w:name="_Toc29762"/>
      <w:r>
        <w:rPr>
          <w:rFonts w:hint="eastAsia" w:ascii="仿宋" w:hAnsi="仿宋" w:eastAsia="仿宋" w:cs="仿宋"/>
          <w:color w:val="auto"/>
          <w:sz w:val="32"/>
          <w:szCs w:val="32"/>
        </w:rPr>
        <w:t>（2）业主方与各参建单位严格按照合同约定办事，完善项目建设组织与管理，质量监督体系等；对项目分部分项工程验收时，业主方及监理方、工程质量监督站、施工企业质检部门三方同时现场确认等；</w:t>
      </w:r>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16" w:name="_Toc28187"/>
      <w:bookmarkStart w:id="217" w:name="_Toc79051166"/>
      <w:bookmarkStart w:id="218" w:name="_Toc74258633"/>
      <w:bookmarkStart w:id="219" w:name="_Toc349"/>
      <w:bookmarkStart w:id="220" w:name="_Toc70682594"/>
      <w:r>
        <w:rPr>
          <w:rFonts w:hint="eastAsia" w:ascii="仿宋" w:hAnsi="仿宋" w:eastAsia="仿宋" w:cs="仿宋"/>
          <w:color w:val="auto"/>
          <w:sz w:val="32"/>
          <w:szCs w:val="32"/>
        </w:rPr>
        <w:t>（3）业主及监理单位要对施工单位的进度计划进行仔细审核，落实好进度管理部门人员及职责分工；分析影响进度目标实现的干扰和风险因素等；通过经济奖惩方法对进度管理进行约束等。</w:t>
      </w:r>
      <w:bookmarkEnd w:id="216"/>
      <w:bookmarkEnd w:id="217"/>
      <w:bookmarkEnd w:id="218"/>
      <w:bookmarkEnd w:id="219"/>
      <w:bookmarkEnd w:id="220"/>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21" w:name="_Toc74258634"/>
      <w:bookmarkStart w:id="222" w:name="_Toc70682595"/>
      <w:bookmarkStart w:id="223" w:name="_Toc26963"/>
      <w:bookmarkStart w:id="224" w:name="_Toc27942"/>
      <w:bookmarkStart w:id="225" w:name="_Toc79051167"/>
      <w:r>
        <w:rPr>
          <w:rFonts w:hint="eastAsia" w:ascii="仿宋" w:hAnsi="仿宋" w:eastAsia="仿宋" w:cs="仿宋"/>
          <w:color w:val="auto"/>
          <w:sz w:val="32"/>
          <w:szCs w:val="32"/>
        </w:rPr>
        <w:t>5.安全风险防范对策及措施</w:t>
      </w:r>
      <w:bookmarkEnd w:id="221"/>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26" w:name="_Toc79051168"/>
      <w:bookmarkStart w:id="227" w:name="_Toc74258635"/>
      <w:bookmarkStart w:id="228" w:name="_Toc21138"/>
      <w:bookmarkStart w:id="229" w:name="_Toc24882"/>
      <w:bookmarkStart w:id="230" w:name="_Toc70682596"/>
      <w:r>
        <w:rPr>
          <w:rFonts w:hint="eastAsia" w:ascii="仿宋" w:hAnsi="仿宋" w:eastAsia="仿宋" w:cs="仿宋"/>
          <w:color w:val="auto"/>
          <w:sz w:val="32"/>
          <w:szCs w:val="32"/>
        </w:rPr>
        <w:t>（1）加强工人进行安全教育：对新进场的工人进行三级安全教育与进场安全技术教育，并在施工前对班组长进行安全技术交底，组织工人学习安全操作规程，工人每月进行安全教育。</w:t>
      </w:r>
      <w:bookmarkEnd w:id="226"/>
      <w:bookmarkEnd w:id="227"/>
      <w:bookmarkEnd w:id="228"/>
      <w:bookmarkEnd w:id="229"/>
      <w:bookmarkEnd w:id="23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31" w:name="_Toc74258636"/>
      <w:bookmarkStart w:id="232" w:name="_Toc1684"/>
      <w:bookmarkStart w:id="233" w:name="_Toc79051169"/>
      <w:bookmarkStart w:id="234" w:name="_Toc70682597"/>
      <w:bookmarkStart w:id="235" w:name="_Toc5060"/>
      <w:r>
        <w:rPr>
          <w:rFonts w:hint="eastAsia" w:ascii="仿宋" w:hAnsi="仿宋" w:eastAsia="仿宋" w:cs="仿宋"/>
          <w:color w:val="auto"/>
          <w:sz w:val="32"/>
          <w:szCs w:val="32"/>
        </w:rPr>
        <w:t>（2）项目部每周组织班组长开安全例会，对每周的安全隐患进行分析和排出。</w:t>
      </w:r>
      <w:bookmarkEnd w:id="231"/>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36" w:name="_Toc23038"/>
      <w:bookmarkStart w:id="237" w:name="_Toc28955"/>
      <w:bookmarkStart w:id="238" w:name="_Toc74258637"/>
      <w:bookmarkStart w:id="239" w:name="_Toc79051170"/>
      <w:bookmarkStart w:id="240" w:name="_Toc70682598"/>
      <w:r>
        <w:rPr>
          <w:rFonts w:hint="eastAsia" w:ascii="仿宋" w:hAnsi="仿宋" w:eastAsia="仿宋" w:cs="仿宋"/>
          <w:color w:val="auto"/>
          <w:sz w:val="32"/>
          <w:szCs w:val="32"/>
        </w:rPr>
        <w:t>（3）定期对施工机械、安全防护用品进行安全检查和保养。</w:t>
      </w:r>
      <w:bookmarkEnd w:id="236"/>
      <w:bookmarkEnd w:id="237"/>
      <w:bookmarkEnd w:id="238"/>
      <w:bookmarkEnd w:id="239"/>
      <w:bookmarkEnd w:id="240"/>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241" w:name="_Toc28312"/>
      <w:bookmarkStart w:id="242" w:name="_Toc14191"/>
      <w:bookmarkStart w:id="243" w:name="_Toc20059"/>
      <w:r>
        <w:rPr>
          <w:rFonts w:hint="eastAsia" w:ascii="黑体" w:hAnsi="黑体" w:eastAsia="黑体" w:cs="黑体"/>
          <w:b w:val="0"/>
          <w:bCs w:val="0"/>
          <w:sz w:val="32"/>
          <w:szCs w:val="32"/>
          <w:lang w:val="en-US" w:eastAsia="zh-CN"/>
        </w:rPr>
        <w:t>9.结论与建议</w:t>
      </w:r>
      <w:bookmarkEnd w:id="241"/>
      <w:bookmarkEnd w:id="242"/>
      <w:bookmarkEnd w:id="243"/>
      <w:bookmarkStart w:id="244" w:name="_Toc30152"/>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45" w:name="_Toc27660"/>
      <w:bookmarkStart w:id="246" w:name="_Toc28072"/>
      <w:r>
        <w:rPr>
          <w:rFonts w:hint="eastAsia" w:ascii="楷体_GB2312" w:hAnsi="楷体_GB2312" w:eastAsia="楷体_GB2312" w:cs="楷体_GB2312"/>
          <w:sz w:val="32"/>
          <w:szCs w:val="32"/>
          <w:lang w:val="en-US" w:eastAsia="zh-CN"/>
        </w:rPr>
        <w:t>9.1结论</w:t>
      </w:r>
      <w:bookmarkEnd w:id="244"/>
      <w:bookmarkEnd w:id="245"/>
      <w:bookmarkEnd w:id="2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建设符合中共中央、国务院《关于全面推进乡村振兴加快农业农村现代化的意见》、二十大关于“实施乡村振兴战略”等政策方向，也符合塔城市二工镇社会经济发展整体规划，其建设对于改善项目区社会环境、当地人居环境，满足当地生产、生活需要具有重要意义，有利于和谐社会的构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从项目背景、建设必要性、投资规模、建设内容、建设条件等方面进行了分析研究。项目建设导向正确，技术方案适中，投资规模适度，各项指标已达到建设所要求的基本条件，同时充分考虑了人口布局及数量、地理交通等因素，结合了塔城市经济发展水平的要求，并适当考虑了未来发展的需要，较为科学合理。项目总体方案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本项目环保、消防、节能等方面均已采取积极有效的措施。可保证项目正常实施和安全使用。</w:t>
      </w:r>
    </w:p>
    <w:p>
      <w:pPr>
        <w:pStyle w:val="4"/>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bookmarkStart w:id="247" w:name="_Toc20424"/>
      <w:bookmarkStart w:id="248" w:name="_Toc9267"/>
      <w:bookmarkStart w:id="249" w:name="_Toc30305"/>
      <w:r>
        <w:rPr>
          <w:rFonts w:hint="eastAsia" w:ascii="楷体_GB2312" w:hAnsi="楷体_GB2312" w:eastAsia="楷体_GB2312" w:cs="楷体_GB2312"/>
          <w:sz w:val="32"/>
          <w:szCs w:val="32"/>
          <w:lang w:val="en-US" w:eastAsia="zh-CN"/>
        </w:rPr>
        <w:t>9.2</w:t>
      </w:r>
      <w:r>
        <w:rPr>
          <w:rFonts w:hint="eastAsia" w:ascii="楷体_GB2312" w:hAnsi="楷体_GB2312" w:eastAsia="楷体_GB2312" w:cs="楷体_GB2312"/>
          <w:sz w:val="32"/>
          <w:szCs w:val="32"/>
        </w:rPr>
        <w:t>建议</w:t>
      </w:r>
      <w:bookmarkEnd w:id="247"/>
      <w:bookmarkEnd w:id="248"/>
      <w:bookmarkEnd w:id="249"/>
      <w:r>
        <w:rPr>
          <w:rFonts w:hint="eastAsia" w:ascii="楷体_GB2312" w:hAnsi="楷体_GB2312" w:eastAsia="楷体_GB2312" w:cs="楷体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1、项目在报告批复后，应尽快委托有资质的设计单位对本项目进行工程设计，制订出详细的项目实施计划，尽早开展项目的其它前期工作。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2、建设单位要把资金落实到位，确保项目的建设顺利进行。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color w:val="auto"/>
          <w:sz w:val="32"/>
          <w:szCs w:val="32"/>
          <w:lang w:val="en-US" w:eastAsia="zh-CN"/>
        </w:rPr>
        <w:t>3、在项目建设过程中，应严格执行国家基本建设程序，加强管理，确保工程质量和安全生产，符和环境保护要求。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bookmarkStart w:id="250" w:name="_Toc79051171"/>
      <w:bookmarkStart w:id="251" w:name="_Toc70682599"/>
      <w:bookmarkStart w:id="252" w:name="_Toc5473"/>
      <w:bookmarkStart w:id="253" w:name="_Toc74258638"/>
      <w:bookmarkStart w:id="254" w:name="_Toc22113"/>
      <w:r>
        <w:rPr>
          <w:rFonts w:hint="eastAsia" w:ascii="仿宋" w:hAnsi="仿宋" w:eastAsia="仿宋" w:cs="仿宋"/>
          <w:color w:val="auto"/>
          <w:sz w:val="32"/>
          <w:szCs w:val="32"/>
          <w:lang w:val="en-US" w:eastAsia="zh-CN"/>
        </w:rPr>
        <w:t>4、建立社会监理和群众监督管理机制，发现风险因素立即提出并进行整改</w:t>
      </w:r>
      <w:bookmarkEnd w:id="250"/>
      <w:bookmarkEnd w:id="251"/>
      <w:bookmarkEnd w:id="252"/>
      <w:bookmarkEnd w:id="253"/>
      <w:bookmarkEnd w:id="254"/>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p>
    <w:p>
      <w:pPr>
        <w:pageBreakBefore w:val="0"/>
        <w:widowControl w:val="0"/>
        <w:kinsoku/>
        <w:wordWrap/>
        <w:overflowPunct/>
        <w:topLinePunct w:val="0"/>
        <w:autoSpaceDE/>
        <w:autoSpaceDN/>
        <w:bidi w:val="0"/>
        <w:spacing w:line="560" w:lineRule="exact"/>
        <w:ind w:left="0" w:firstLine="640" w:firstLineChars="200"/>
        <w:textAlignment w:val="auto"/>
        <w:rPr>
          <w:rFonts w:hint="eastAsia" w:ascii="方正楷体简体" w:hAnsi="方正楷体简体" w:eastAsia="方正楷体简体" w:cs="方正楷体简体"/>
          <w:sz w:val="32"/>
          <w:szCs w:val="32"/>
        </w:rPr>
      </w:pPr>
    </w:p>
    <w:sectPr>
      <w:headerReference r:id="rId8" w:type="default"/>
      <w:footerReference r:id="rId9" w:type="default"/>
      <w:pgSz w:w="11900" w:h="16838"/>
      <w:pgMar w:top="1440" w:right="1797" w:bottom="1440" w:left="1797" w:header="850" w:footer="992" w:gutter="0"/>
      <w:pgNumType w:fmt="decimal"/>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C53BAE-2F6B-49ED-8B57-0C5811FA55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00000000" w:usb1="00000000" w:usb2="00000000" w:usb3="00000000" w:csb0="00000000" w:csb1="00000000"/>
  </w:font>
  <w:font w:name="HYb2gj">
    <w:altName w:val="宋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embedRegular r:id="rId2" w:fontKey="{0A5AA484-0263-4A6E-BD04-26332391037F}"/>
  </w:font>
  <w:font w:name="方正小标宋简体">
    <w:panose1 w:val="03000509000000000000"/>
    <w:charset w:val="86"/>
    <w:family w:val="script"/>
    <w:pitch w:val="default"/>
    <w:sig w:usb0="00000001" w:usb1="080E0000" w:usb2="00000000" w:usb3="00000000" w:csb0="00040000" w:csb1="00000000"/>
    <w:embedRegular r:id="rId3" w:fontKey="{46EEDD1B-FBC3-454D-BA98-FF36F439A33C}"/>
  </w:font>
  <w:font w:name="方正黑体简体">
    <w:altName w:val="微软雅黑"/>
    <w:panose1 w:val="02000000000000000000"/>
    <w:charset w:val="86"/>
    <w:family w:val="auto"/>
    <w:pitch w:val="default"/>
    <w:sig w:usb0="00000000" w:usb1="00000000" w:usb2="00000012" w:usb3="00000000" w:csb0="00040001" w:csb1="00000000"/>
    <w:embedRegular r:id="rId4" w:fontKey="{57EA16B3-4256-45E3-B2AA-42B542758637}"/>
  </w:font>
  <w:font w:name="仿宋">
    <w:panose1 w:val="02010609060101010101"/>
    <w:charset w:val="86"/>
    <w:family w:val="modern"/>
    <w:pitch w:val="default"/>
    <w:sig w:usb0="800002BF" w:usb1="38CF7CFA" w:usb2="00000016" w:usb3="00000000" w:csb0="00040001" w:csb1="00000000"/>
    <w:embedRegular r:id="rId5" w:fontKey="{3CB6E77D-8B3E-4D97-8639-258B246C77AB}"/>
  </w:font>
  <w:font w:name="仿宋_GB2312">
    <w:panose1 w:val="02010609030101010101"/>
    <w:charset w:val="86"/>
    <w:family w:val="auto"/>
    <w:pitch w:val="default"/>
    <w:sig w:usb0="00000001" w:usb1="080E0000" w:usb2="00000000" w:usb3="00000000" w:csb0="00040000" w:csb1="00000000"/>
    <w:embedRegular r:id="rId6" w:fontKey="{9CB97050-67C8-48DE-8211-F797FFC58A22}"/>
  </w:font>
  <w:font w:name="方正楷体简体">
    <w:altName w:val="宋体"/>
    <w:panose1 w:val="02000000000000000000"/>
    <w:charset w:val="86"/>
    <w:family w:val="auto"/>
    <w:pitch w:val="default"/>
    <w:sig w:usb0="00000000" w:usb1="00000000" w:usb2="00000012" w:usb3="00000000" w:csb0="00040001" w:csb1="00000000"/>
    <w:embedRegular r:id="rId7" w:fontKey="{AD30693E-0BE5-48CE-860F-BB4D6A4CDB14}"/>
  </w:font>
  <w:font w:name="等线">
    <w:panose1 w:val="02010600030101010101"/>
    <w:charset w:val="00"/>
    <w:family w:val="auto"/>
    <w:pitch w:val="default"/>
    <w:sig w:usb0="00000000" w:usb1="00000000" w:usb2="00000000" w:usb3="00000000" w:csb0="00000000" w:csb1="00000000"/>
    <w:embedRegular r:id="rId8" w:fontKey="{54A44487-53CD-4209-8B19-80A0C8181271}"/>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wordWrap w:val="0"/>
      <w:spacing w:line="276" w:lineRule="auto"/>
      <w:ind w:left="0" w:right="0" w:firstLine="0" w:firstLineChars="0"/>
      <w:jc w:val="center"/>
      <w:rPr>
        <w:rFonts w:hint="eastAsia" w:ascii="宋体" w:eastAsia="宋体"/>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276" w:lineRule="auto"/>
      <w:rPr>
        <w:rFonts w:ascii="宋体" w:eastAsia="宋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BD8BB"/>
    <w:multiLevelType w:val="multilevel"/>
    <w:tmpl w:val="F24BD8BB"/>
    <w:lvl w:ilvl="0" w:tentative="0">
      <w:start w:val="1"/>
      <w:numFmt w:val="decimal"/>
      <w:lvlText w:val="第%1章 "/>
      <w:lvlJc w:val="center"/>
      <w:pPr>
        <w:tabs>
          <w:tab w:val="left" w:pos="3432"/>
        </w:tabs>
        <w:ind w:left="3278" w:firstLine="425"/>
      </w:pPr>
      <w:rPr>
        <w:rFonts w:ascii="宋体" w:hAnsi="宋体" w:eastAsia="宋体" w:cs="Times New Roman"/>
        <w:b/>
        <w:bCs w:val="0"/>
        <w:i w:val="0"/>
        <w:iCs w:val="0"/>
        <w:caps w:val="0"/>
        <w:smallCaps w:val="0"/>
        <w:strike w:val="0"/>
        <w:dstrike w:val="0"/>
        <w:snapToGrid w:val="0"/>
        <w:vanish w:val="0"/>
        <w:color w:val="000000"/>
        <w:spacing w:val="0"/>
        <w:kern w:val="0"/>
        <w:position w:val="0"/>
        <w:sz w:val="36"/>
        <w:szCs w:val="36"/>
        <w:u w:val="none"/>
        <w:vertAlign w:val="baseline"/>
      </w:rPr>
    </w:lvl>
    <w:lvl w:ilvl="1" w:tentative="0">
      <w:start w:val="1"/>
      <w:numFmt w:val="decimal"/>
      <w:lvlText w:val="%1.%2"/>
      <w:lvlJc w:val="left"/>
      <w:pPr>
        <w:tabs>
          <w:tab w:val="left" w:pos="0"/>
        </w:tabs>
        <w:ind w:left="-283" w:firstLine="425"/>
      </w:pPr>
      <w:rPr>
        <w:rFonts w:hint="eastAsia" w:ascii="宋体" w:hAnsi="宋体" w:eastAsia="宋体"/>
        <w:b/>
        <w:i w:val="0"/>
        <w:sz w:val="30"/>
        <w:szCs w:val="30"/>
      </w:rPr>
    </w:lvl>
    <w:lvl w:ilvl="2" w:tentative="0">
      <w:start w:val="1"/>
      <w:numFmt w:val="decimal"/>
      <w:pStyle w:val="2"/>
      <w:lvlText w:val="%1.%2.%3"/>
      <w:lvlJc w:val="left"/>
      <w:pPr>
        <w:tabs>
          <w:tab w:val="left" w:pos="2127"/>
        </w:tabs>
        <w:ind w:left="1702" w:firstLine="425"/>
      </w:pPr>
    </w:lvl>
    <w:lvl w:ilvl="3" w:tentative="0">
      <w:start w:val="1"/>
      <w:numFmt w:val="decimal"/>
      <w:lvlText w:val="%1.%2.%3.%4"/>
      <w:lvlJc w:val="left"/>
      <w:pPr>
        <w:tabs>
          <w:tab w:val="left" w:pos="425"/>
        </w:tabs>
        <w:ind w:left="0" w:firstLine="425"/>
      </w:pPr>
    </w:lvl>
    <w:lvl w:ilvl="4" w:tentative="0">
      <w:start w:val="1"/>
      <w:numFmt w:val="decimal"/>
      <w:lvlText w:val="（%5）"/>
      <w:lvlJc w:val="left"/>
      <w:pPr>
        <w:tabs>
          <w:tab w:val="left" w:pos="568"/>
        </w:tabs>
        <w:ind w:left="143" w:firstLine="425"/>
      </w:pPr>
      <w:rPr>
        <w:rFonts w:hint="eastAsia" w:eastAsia="宋体"/>
        <w:sz w:val="28"/>
      </w:rPr>
    </w:lvl>
    <w:lvl w:ilvl="5" w:tentative="0">
      <w:start w:val="1"/>
      <w:numFmt w:val="upperLetter"/>
      <w:lvlText w:val="%6）"/>
      <w:lvlJc w:val="left"/>
      <w:pPr>
        <w:tabs>
          <w:tab w:val="left" w:pos="425"/>
        </w:tabs>
        <w:ind w:left="0" w:firstLine="425"/>
      </w:pPr>
      <w:rPr>
        <w:rFonts w:hint="eastAsia" w:eastAsia="宋体"/>
        <w:sz w:val="28"/>
      </w:rPr>
    </w:lvl>
    <w:lvl w:ilvl="6" w:tentative="0">
      <w:start w:val="1"/>
      <w:numFmt w:val="decimal"/>
      <w:lvlText w:val="%1.%2.%3.%4.%5.%6.%7"/>
      <w:lvlJc w:val="left"/>
      <w:pPr>
        <w:tabs>
          <w:tab w:val="left" w:pos="0"/>
        </w:tabs>
        <w:ind w:left="3827" w:hanging="3402"/>
      </w:pPr>
      <w:rPr>
        <w:rFonts w:hint="eastAsia"/>
      </w:rPr>
    </w:lvl>
    <w:lvl w:ilvl="7" w:tentative="0">
      <w:start w:val="1"/>
      <w:numFmt w:val="decimal"/>
      <w:lvlText w:val="%1.%2.%3.%4.%5.%6.%7.%8"/>
      <w:lvlJc w:val="left"/>
      <w:pPr>
        <w:tabs>
          <w:tab w:val="left" w:pos="0"/>
        </w:tabs>
        <w:ind w:left="4394" w:hanging="3969"/>
      </w:pPr>
      <w:rPr>
        <w:rFonts w:hint="eastAsia"/>
      </w:rPr>
    </w:lvl>
    <w:lvl w:ilvl="8" w:tentative="0">
      <w:start w:val="1"/>
      <w:numFmt w:val="decimal"/>
      <w:lvlText w:val="%1.%2.%3.%4.%5.%6.%7.%8.%9"/>
      <w:lvlJc w:val="left"/>
      <w:pPr>
        <w:tabs>
          <w:tab w:val="left" w:pos="0"/>
        </w:tabs>
        <w:ind w:left="5102" w:hanging="4677"/>
      </w:pPr>
      <w:rPr>
        <w:rFonts w:hint="eastAsia"/>
      </w:rPr>
    </w:lvl>
  </w:abstractNum>
  <w:abstractNum w:abstractNumId="1">
    <w:nsid w:val="4F4F9E55"/>
    <w:multiLevelType w:val="multilevel"/>
    <w:tmpl w:val="4F4F9E55"/>
    <w:lvl w:ilvl="0" w:tentative="0">
      <w:start w:val="0"/>
      <w:numFmt w:val="decimal"/>
      <w:lvlText w:val="第%1章 "/>
      <w:lvlJc w:val="center"/>
      <w:pPr>
        <w:tabs>
          <w:tab w:val="left" w:pos="3432"/>
        </w:tabs>
        <w:ind w:left="2978" w:firstLine="425"/>
      </w:pPr>
      <w:rPr>
        <w:rFonts w:hint="default" w:ascii="宋体" w:hAnsi="宋体" w:eastAsia="宋体" w:cs="Times New Roman"/>
        <w:b/>
        <w:bCs w:val="0"/>
        <w:i w:val="0"/>
        <w:iCs w:val="0"/>
        <w:caps w:val="0"/>
        <w:smallCaps w:val="0"/>
        <w:strike w:val="0"/>
        <w:dstrike w:val="0"/>
        <w:snapToGrid w:val="0"/>
        <w:vanish w:val="0"/>
        <w:color w:val="000000"/>
        <w:spacing w:val="0"/>
        <w:kern w:val="0"/>
        <w:position w:val="0"/>
        <w:sz w:val="36"/>
        <w:szCs w:val="36"/>
        <w:u w:val="none"/>
        <w:vertAlign w:val="baseline"/>
      </w:rPr>
    </w:lvl>
    <w:lvl w:ilvl="1" w:tentative="0">
      <w:start w:val="1"/>
      <w:numFmt w:val="decimal"/>
      <w:pStyle w:val="4"/>
      <w:lvlText w:val="%1.%2"/>
      <w:lvlJc w:val="left"/>
      <w:pPr>
        <w:tabs>
          <w:tab w:val="left" w:pos="0"/>
        </w:tabs>
        <w:ind w:left="-283" w:firstLine="425"/>
      </w:pPr>
      <w:rPr>
        <w:rFonts w:hint="eastAsia" w:ascii="宋体" w:hAnsi="宋体" w:eastAsia="宋体"/>
        <w:b/>
        <w:i w:val="0"/>
        <w:sz w:val="30"/>
        <w:szCs w:val="30"/>
      </w:rPr>
    </w:lvl>
    <w:lvl w:ilvl="2" w:tentative="0">
      <w:start w:val="1"/>
      <w:numFmt w:val="decimal"/>
      <w:lvlText w:val="%1.%2.%3"/>
      <w:lvlJc w:val="left"/>
      <w:pPr>
        <w:tabs>
          <w:tab w:val="left" w:pos="2127"/>
        </w:tabs>
        <w:ind w:left="1702" w:firstLine="425"/>
      </w:pPr>
    </w:lvl>
    <w:lvl w:ilvl="3" w:tentative="0">
      <w:start w:val="1"/>
      <w:numFmt w:val="decimal"/>
      <w:lvlText w:val="%1.%2.%3.%4"/>
      <w:lvlJc w:val="left"/>
      <w:pPr>
        <w:tabs>
          <w:tab w:val="left" w:pos="425"/>
        </w:tabs>
        <w:ind w:left="0" w:firstLine="425"/>
      </w:pPr>
    </w:lvl>
    <w:lvl w:ilvl="4" w:tentative="0">
      <w:start w:val="1"/>
      <w:numFmt w:val="decimal"/>
      <w:lvlText w:val="（%5）"/>
      <w:lvlJc w:val="left"/>
      <w:pPr>
        <w:tabs>
          <w:tab w:val="left" w:pos="568"/>
        </w:tabs>
        <w:ind w:left="143" w:firstLine="425"/>
      </w:pPr>
      <w:rPr>
        <w:rFonts w:hint="eastAsia" w:eastAsia="宋体"/>
        <w:sz w:val="28"/>
      </w:rPr>
    </w:lvl>
    <w:lvl w:ilvl="5" w:tentative="0">
      <w:start w:val="1"/>
      <w:numFmt w:val="upperLetter"/>
      <w:lvlText w:val="%6）"/>
      <w:lvlJc w:val="left"/>
      <w:pPr>
        <w:tabs>
          <w:tab w:val="left" w:pos="425"/>
        </w:tabs>
        <w:ind w:left="0" w:firstLine="425"/>
      </w:pPr>
      <w:rPr>
        <w:rFonts w:hint="eastAsia" w:eastAsia="宋体"/>
        <w:sz w:val="28"/>
      </w:rPr>
    </w:lvl>
    <w:lvl w:ilvl="6" w:tentative="0">
      <w:start w:val="1"/>
      <w:numFmt w:val="decimal"/>
      <w:lvlText w:val="%1.%2.%3.%4.%5.%6.%7"/>
      <w:lvlJc w:val="left"/>
      <w:pPr>
        <w:tabs>
          <w:tab w:val="left" w:pos="0"/>
        </w:tabs>
        <w:ind w:left="3827" w:hanging="3402"/>
      </w:pPr>
      <w:rPr>
        <w:rFonts w:hint="eastAsia"/>
      </w:rPr>
    </w:lvl>
    <w:lvl w:ilvl="7" w:tentative="0">
      <w:start w:val="1"/>
      <w:numFmt w:val="decimal"/>
      <w:lvlText w:val="%1.%2.%3.%4.%5.%6.%7.%8"/>
      <w:lvlJc w:val="left"/>
      <w:pPr>
        <w:tabs>
          <w:tab w:val="left" w:pos="0"/>
        </w:tabs>
        <w:ind w:left="4394" w:hanging="3969"/>
      </w:pPr>
      <w:rPr>
        <w:rFonts w:hint="eastAsia"/>
      </w:rPr>
    </w:lvl>
    <w:lvl w:ilvl="8" w:tentative="0">
      <w:start w:val="1"/>
      <w:numFmt w:val="decimal"/>
      <w:lvlText w:val="%1.%2.%3.%4.%5.%6.%7.%8.%9"/>
      <w:lvlJc w:val="left"/>
      <w:pPr>
        <w:tabs>
          <w:tab w:val="left" w:pos="0"/>
        </w:tabs>
        <w:ind w:left="5102" w:hanging="467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yYjk0ZmY1NzUxNjYxMWMxZjliOTdlMjA4NDRiNTAifQ=="/>
  </w:docVars>
  <w:rsids>
    <w:rsidRoot w:val="00DC3189"/>
    <w:rsid w:val="00036ACC"/>
    <w:rsid w:val="00096F1A"/>
    <w:rsid w:val="00126AAB"/>
    <w:rsid w:val="001A434E"/>
    <w:rsid w:val="001C0158"/>
    <w:rsid w:val="001F0C07"/>
    <w:rsid w:val="00246619"/>
    <w:rsid w:val="00286DB6"/>
    <w:rsid w:val="00290EF7"/>
    <w:rsid w:val="00294356"/>
    <w:rsid w:val="00346967"/>
    <w:rsid w:val="003B42C5"/>
    <w:rsid w:val="00407F2D"/>
    <w:rsid w:val="004B669C"/>
    <w:rsid w:val="004E17A6"/>
    <w:rsid w:val="00577A4A"/>
    <w:rsid w:val="00626560"/>
    <w:rsid w:val="006B42CF"/>
    <w:rsid w:val="006B685B"/>
    <w:rsid w:val="006D02CF"/>
    <w:rsid w:val="007A7DDA"/>
    <w:rsid w:val="007D6ED7"/>
    <w:rsid w:val="007F040B"/>
    <w:rsid w:val="0092513B"/>
    <w:rsid w:val="00971F0F"/>
    <w:rsid w:val="00A0692A"/>
    <w:rsid w:val="00A06F97"/>
    <w:rsid w:val="00A400FD"/>
    <w:rsid w:val="00B24B29"/>
    <w:rsid w:val="00C72A49"/>
    <w:rsid w:val="00D86D21"/>
    <w:rsid w:val="00DC3189"/>
    <w:rsid w:val="00E165F2"/>
    <w:rsid w:val="00F06EEA"/>
    <w:rsid w:val="00F44EF0"/>
    <w:rsid w:val="00F56949"/>
    <w:rsid w:val="00FC5EB2"/>
    <w:rsid w:val="00FE719C"/>
    <w:rsid w:val="017F60D0"/>
    <w:rsid w:val="018D0BC0"/>
    <w:rsid w:val="020E7EB7"/>
    <w:rsid w:val="024E68F9"/>
    <w:rsid w:val="03101E00"/>
    <w:rsid w:val="03C14F9B"/>
    <w:rsid w:val="040A7E21"/>
    <w:rsid w:val="04330849"/>
    <w:rsid w:val="04C85BAC"/>
    <w:rsid w:val="05135B69"/>
    <w:rsid w:val="05364798"/>
    <w:rsid w:val="05695D0C"/>
    <w:rsid w:val="057E1BA5"/>
    <w:rsid w:val="063308C0"/>
    <w:rsid w:val="06AD75E9"/>
    <w:rsid w:val="07B347C2"/>
    <w:rsid w:val="083A0698"/>
    <w:rsid w:val="089A5717"/>
    <w:rsid w:val="08CF78E1"/>
    <w:rsid w:val="097A4477"/>
    <w:rsid w:val="09C63218"/>
    <w:rsid w:val="0A051F93"/>
    <w:rsid w:val="0A0C1573"/>
    <w:rsid w:val="0A1907A5"/>
    <w:rsid w:val="0A221F43"/>
    <w:rsid w:val="0AA07DBC"/>
    <w:rsid w:val="0AAE7CCA"/>
    <w:rsid w:val="0AB3379D"/>
    <w:rsid w:val="0AB6328D"/>
    <w:rsid w:val="0B1C2E20"/>
    <w:rsid w:val="0CD1749B"/>
    <w:rsid w:val="0CEF09E8"/>
    <w:rsid w:val="0DA10EB4"/>
    <w:rsid w:val="0DB64331"/>
    <w:rsid w:val="0DE46363"/>
    <w:rsid w:val="0E5531FB"/>
    <w:rsid w:val="0E72396F"/>
    <w:rsid w:val="0EC266A4"/>
    <w:rsid w:val="0EE20764"/>
    <w:rsid w:val="0F2E7F0D"/>
    <w:rsid w:val="0F362BEE"/>
    <w:rsid w:val="0F66015E"/>
    <w:rsid w:val="107E5207"/>
    <w:rsid w:val="10805480"/>
    <w:rsid w:val="10D1569D"/>
    <w:rsid w:val="11C614D5"/>
    <w:rsid w:val="12346859"/>
    <w:rsid w:val="12922832"/>
    <w:rsid w:val="12DE674E"/>
    <w:rsid w:val="13566C69"/>
    <w:rsid w:val="13EA1DCD"/>
    <w:rsid w:val="147A27BC"/>
    <w:rsid w:val="157320EA"/>
    <w:rsid w:val="15E80070"/>
    <w:rsid w:val="16E13640"/>
    <w:rsid w:val="17444861"/>
    <w:rsid w:val="1752238A"/>
    <w:rsid w:val="17BD3EAD"/>
    <w:rsid w:val="17FF1F7E"/>
    <w:rsid w:val="18702474"/>
    <w:rsid w:val="1886200F"/>
    <w:rsid w:val="18BC31EC"/>
    <w:rsid w:val="18C91619"/>
    <w:rsid w:val="1A584B63"/>
    <w:rsid w:val="1A7035D8"/>
    <w:rsid w:val="1ADA4D76"/>
    <w:rsid w:val="1DFF49BB"/>
    <w:rsid w:val="1DFF6132"/>
    <w:rsid w:val="1E540FC2"/>
    <w:rsid w:val="1E5F1129"/>
    <w:rsid w:val="1E803E86"/>
    <w:rsid w:val="1EEC1283"/>
    <w:rsid w:val="1FDF698A"/>
    <w:rsid w:val="20085EE1"/>
    <w:rsid w:val="200F5151"/>
    <w:rsid w:val="204075B5"/>
    <w:rsid w:val="20907D60"/>
    <w:rsid w:val="20F326ED"/>
    <w:rsid w:val="216F5A67"/>
    <w:rsid w:val="217A127F"/>
    <w:rsid w:val="21D24FAA"/>
    <w:rsid w:val="22996134"/>
    <w:rsid w:val="22AF5101"/>
    <w:rsid w:val="22B77B46"/>
    <w:rsid w:val="22D53DB7"/>
    <w:rsid w:val="234C6570"/>
    <w:rsid w:val="23EE0490"/>
    <w:rsid w:val="241308D1"/>
    <w:rsid w:val="249C2236"/>
    <w:rsid w:val="25207A60"/>
    <w:rsid w:val="2606593D"/>
    <w:rsid w:val="261A0C88"/>
    <w:rsid w:val="2628220D"/>
    <w:rsid w:val="26600825"/>
    <w:rsid w:val="26B945F4"/>
    <w:rsid w:val="284B1061"/>
    <w:rsid w:val="28DA276A"/>
    <w:rsid w:val="2920604A"/>
    <w:rsid w:val="296E0C48"/>
    <w:rsid w:val="29DA25A5"/>
    <w:rsid w:val="2A601659"/>
    <w:rsid w:val="2A6C3199"/>
    <w:rsid w:val="2A876E2A"/>
    <w:rsid w:val="2A9354EB"/>
    <w:rsid w:val="2B222FBC"/>
    <w:rsid w:val="2CFC28DB"/>
    <w:rsid w:val="2D0D0DA5"/>
    <w:rsid w:val="2DA9478C"/>
    <w:rsid w:val="2DC66C82"/>
    <w:rsid w:val="2F4D48C4"/>
    <w:rsid w:val="2F624C7E"/>
    <w:rsid w:val="2F9D59D0"/>
    <w:rsid w:val="30591F4D"/>
    <w:rsid w:val="308F2142"/>
    <w:rsid w:val="30EF5D1A"/>
    <w:rsid w:val="313E2241"/>
    <w:rsid w:val="314E5A41"/>
    <w:rsid w:val="31E10340"/>
    <w:rsid w:val="31E47B17"/>
    <w:rsid w:val="32573E8A"/>
    <w:rsid w:val="326B46FA"/>
    <w:rsid w:val="326C73C7"/>
    <w:rsid w:val="33511D45"/>
    <w:rsid w:val="338109CF"/>
    <w:rsid w:val="33EF0F80"/>
    <w:rsid w:val="34332D9A"/>
    <w:rsid w:val="34AC10D9"/>
    <w:rsid w:val="34E655CB"/>
    <w:rsid w:val="368E5203"/>
    <w:rsid w:val="36B751D7"/>
    <w:rsid w:val="376A2ED2"/>
    <w:rsid w:val="37A61E10"/>
    <w:rsid w:val="37E071AC"/>
    <w:rsid w:val="37FA1570"/>
    <w:rsid w:val="38C369F1"/>
    <w:rsid w:val="3AB900AC"/>
    <w:rsid w:val="3B8E541A"/>
    <w:rsid w:val="3C164D5C"/>
    <w:rsid w:val="3C613794"/>
    <w:rsid w:val="3C8D220B"/>
    <w:rsid w:val="3CC133C8"/>
    <w:rsid w:val="3CEC23BE"/>
    <w:rsid w:val="3D2F6B23"/>
    <w:rsid w:val="3D334157"/>
    <w:rsid w:val="3D8175A7"/>
    <w:rsid w:val="3DF26BEC"/>
    <w:rsid w:val="3E4D1237"/>
    <w:rsid w:val="3ED86957"/>
    <w:rsid w:val="3F4751A3"/>
    <w:rsid w:val="3FAC311E"/>
    <w:rsid w:val="3FFE14EE"/>
    <w:rsid w:val="402A567E"/>
    <w:rsid w:val="411A2055"/>
    <w:rsid w:val="4186792D"/>
    <w:rsid w:val="41DF6E51"/>
    <w:rsid w:val="43953B3A"/>
    <w:rsid w:val="44A458E2"/>
    <w:rsid w:val="456904E4"/>
    <w:rsid w:val="47617B01"/>
    <w:rsid w:val="47E136EB"/>
    <w:rsid w:val="49244D1A"/>
    <w:rsid w:val="49272C39"/>
    <w:rsid w:val="49CC535B"/>
    <w:rsid w:val="4A3C32E7"/>
    <w:rsid w:val="4A5A7820"/>
    <w:rsid w:val="4AFA15FB"/>
    <w:rsid w:val="4BD25714"/>
    <w:rsid w:val="4C2557DF"/>
    <w:rsid w:val="4C2E58E4"/>
    <w:rsid w:val="4C3C0B3D"/>
    <w:rsid w:val="4C592E38"/>
    <w:rsid w:val="4CB01351"/>
    <w:rsid w:val="4D2B6E8F"/>
    <w:rsid w:val="4D6A1920"/>
    <w:rsid w:val="4DC647E3"/>
    <w:rsid w:val="4DC972B8"/>
    <w:rsid w:val="4E0D280B"/>
    <w:rsid w:val="4F4C7D81"/>
    <w:rsid w:val="4FC65C93"/>
    <w:rsid w:val="50E90A26"/>
    <w:rsid w:val="51330843"/>
    <w:rsid w:val="52514D6B"/>
    <w:rsid w:val="53B254AE"/>
    <w:rsid w:val="5444033B"/>
    <w:rsid w:val="54920AF0"/>
    <w:rsid w:val="549B4023"/>
    <w:rsid w:val="54C56D6E"/>
    <w:rsid w:val="54D54733"/>
    <w:rsid w:val="54E71EC3"/>
    <w:rsid w:val="55D0369C"/>
    <w:rsid w:val="564C7BCE"/>
    <w:rsid w:val="570C2B2C"/>
    <w:rsid w:val="57664CC0"/>
    <w:rsid w:val="57BD0D84"/>
    <w:rsid w:val="583B614D"/>
    <w:rsid w:val="586456A3"/>
    <w:rsid w:val="588D3910"/>
    <w:rsid w:val="58F1020E"/>
    <w:rsid w:val="59A71B5D"/>
    <w:rsid w:val="5A397466"/>
    <w:rsid w:val="5AC715D3"/>
    <w:rsid w:val="5B7C4AB2"/>
    <w:rsid w:val="5B7D6F6F"/>
    <w:rsid w:val="5BC41417"/>
    <w:rsid w:val="5BF120FF"/>
    <w:rsid w:val="5C9F3435"/>
    <w:rsid w:val="5D2378DB"/>
    <w:rsid w:val="5E6C3500"/>
    <w:rsid w:val="5F0C6419"/>
    <w:rsid w:val="5F3D3026"/>
    <w:rsid w:val="5F4F45A2"/>
    <w:rsid w:val="5F6B7317"/>
    <w:rsid w:val="5FD72CD9"/>
    <w:rsid w:val="6026553D"/>
    <w:rsid w:val="622D0D14"/>
    <w:rsid w:val="62673CF3"/>
    <w:rsid w:val="63D80CF3"/>
    <w:rsid w:val="6400799F"/>
    <w:rsid w:val="641E6869"/>
    <w:rsid w:val="641F4B74"/>
    <w:rsid w:val="64A37553"/>
    <w:rsid w:val="64DF4A2F"/>
    <w:rsid w:val="663241DB"/>
    <w:rsid w:val="670D60AB"/>
    <w:rsid w:val="674555B8"/>
    <w:rsid w:val="67DA63B9"/>
    <w:rsid w:val="697554D0"/>
    <w:rsid w:val="6AAF0A00"/>
    <w:rsid w:val="6BE50DDC"/>
    <w:rsid w:val="6D012174"/>
    <w:rsid w:val="6D9B3AD4"/>
    <w:rsid w:val="6E70494A"/>
    <w:rsid w:val="6E7750B1"/>
    <w:rsid w:val="6EF308E2"/>
    <w:rsid w:val="6F8B1310"/>
    <w:rsid w:val="6FB8461B"/>
    <w:rsid w:val="6FD902CD"/>
    <w:rsid w:val="6FF73669"/>
    <w:rsid w:val="70240A1A"/>
    <w:rsid w:val="717F260B"/>
    <w:rsid w:val="71E46B34"/>
    <w:rsid w:val="72536115"/>
    <w:rsid w:val="73971171"/>
    <w:rsid w:val="74907248"/>
    <w:rsid w:val="74954EF2"/>
    <w:rsid w:val="74FA4F6E"/>
    <w:rsid w:val="75820DC8"/>
    <w:rsid w:val="761107C1"/>
    <w:rsid w:val="76A06D63"/>
    <w:rsid w:val="77241CD1"/>
    <w:rsid w:val="78EC5AE8"/>
    <w:rsid w:val="7927508C"/>
    <w:rsid w:val="79730235"/>
    <w:rsid w:val="7AEE3452"/>
    <w:rsid w:val="7AFE294B"/>
    <w:rsid w:val="7B034450"/>
    <w:rsid w:val="7B5056E7"/>
    <w:rsid w:val="7E3E250B"/>
    <w:rsid w:val="7EBF795A"/>
    <w:rsid w:val="7EC87E8B"/>
    <w:rsid w:val="7ED969FB"/>
    <w:rsid w:val="7F504165"/>
    <w:rsid w:val="7F7D0C75"/>
    <w:rsid w:val="7FA83801"/>
    <w:rsid w:val="7FBA5A25"/>
    <w:rsid w:val="7FC96819"/>
    <w:rsid w:val="7FDC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4">
    <w:name w:val="heading 2"/>
    <w:basedOn w:val="1"/>
    <w:next w:val="1"/>
    <w:qFormat/>
    <w:uiPriority w:val="0"/>
    <w:pPr>
      <w:keepLines/>
      <w:widowControl w:val="0"/>
      <w:numPr>
        <w:ilvl w:val="1"/>
        <w:numId w:val="1"/>
      </w:numPr>
      <w:tabs>
        <w:tab w:val="left" w:pos="567"/>
      </w:tabs>
      <w:adjustRightInd w:val="0"/>
      <w:snapToGrid w:val="0"/>
      <w:ind w:left="0" w:firstLine="0" w:firstLineChars="0"/>
      <w:jc w:val="left"/>
      <w:outlineLvl w:val="1"/>
    </w:pPr>
    <w:rPr>
      <w:rFonts w:ascii="宋体" w:eastAsia="宋体"/>
      <w:b/>
    </w:rPr>
  </w:style>
  <w:style w:type="paragraph" w:styleId="2">
    <w:name w:val="heading 3"/>
    <w:basedOn w:val="1"/>
    <w:next w:val="1"/>
    <w:qFormat/>
    <w:uiPriority w:val="0"/>
    <w:pPr>
      <w:keepNext/>
      <w:keepLines/>
      <w:widowControl w:val="0"/>
      <w:numPr>
        <w:ilvl w:val="2"/>
        <w:numId w:val="2"/>
      </w:numPr>
      <w:tabs>
        <w:tab w:val="left" w:pos="0"/>
      </w:tabs>
      <w:adjustRightInd w:val="0"/>
      <w:snapToGrid w:val="0"/>
      <w:ind w:firstLineChars="0"/>
      <w:jc w:val="left"/>
      <w:outlineLvl w:val="2"/>
    </w:pPr>
    <w:rPr>
      <w:rFonts w:ascii="宋体" w:eastAsia="宋体"/>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unhideWhenUsed/>
    <w:qFormat/>
    <w:uiPriority w:val="99"/>
    <w:pPr>
      <w:jc w:val="left"/>
    </w:pPr>
  </w:style>
  <w:style w:type="paragraph" w:styleId="6">
    <w:name w:val="index 6"/>
    <w:basedOn w:val="1"/>
    <w:next w:val="1"/>
    <w:semiHidden/>
    <w:qFormat/>
    <w:uiPriority w:val="0"/>
    <w:pPr>
      <w:ind w:left="1000" w:leftChars="1000"/>
    </w:pPr>
  </w:style>
  <w:style w:type="paragraph" w:styleId="7">
    <w:name w:val="Body Text"/>
    <w:basedOn w:val="1"/>
    <w:next w:val="1"/>
    <w:qFormat/>
    <w:uiPriority w:val="0"/>
    <w:pPr>
      <w:spacing w:after="120"/>
    </w:pPr>
  </w:style>
  <w:style w:type="paragraph" w:styleId="8">
    <w:name w:val="Body Text Indent"/>
    <w:basedOn w:val="1"/>
    <w:unhideWhenUsed/>
    <w:qFormat/>
    <w:uiPriority w:val="0"/>
    <w:pPr>
      <w:spacing w:after="120"/>
      <w:ind w:left="420" w:leftChars="200"/>
    </w:pPr>
  </w:style>
  <w:style w:type="paragraph" w:styleId="9">
    <w:name w:val="toc 3"/>
    <w:basedOn w:val="1"/>
    <w:next w:val="1"/>
    <w:unhideWhenUsed/>
    <w:qFormat/>
    <w:uiPriority w:val="39"/>
    <w:pPr>
      <w:ind w:left="840" w:leftChars="400"/>
    </w:pPr>
  </w:style>
  <w:style w:type="paragraph" w:styleId="10">
    <w:name w:val="Body Text Indent 2"/>
    <w:basedOn w:val="1"/>
    <w:qFormat/>
    <w:uiPriority w:val="0"/>
    <w:pPr>
      <w:spacing w:after="120" w:line="480" w:lineRule="auto"/>
      <w:ind w:left="200" w:leftChars="200"/>
    </w:pPr>
  </w:style>
  <w:style w:type="paragraph" w:styleId="11">
    <w:name w:val="Balloon Text"/>
    <w:basedOn w:val="1"/>
    <w:link w:val="28"/>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annotation subject"/>
    <w:basedOn w:val="5"/>
    <w:next w:val="5"/>
    <w:link w:val="31"/>
    <w:semiHidden/>
    <w:unhideWhenUsed/>
    <w:qFormat/>
    <w:uiPriority w:val="99"/>
    <w:rPr>
      <w:b/>
      <w:bCs/>
    </w:rPr>
  </w:style>
  <w:style w:type="paragraph" w:styleId="17">
    <w:name w:val="Body Text First Indent 2"/>
    <w:basedOn w:val="8"/>
    <w:qFormat/>
    <w:uiPriority w:val="0"/>
    <w:pPr>
      <w:spacing w:after="0" w:line="240" w:lineRule="exact"/>
      <w:ind w:left="0" w:leftChars="0" w:firstLine="420"/>
      <w:jc w:val="left"/>
    </w:pPr>
    <w:rPr>
      <w:rFonts w:ascii="宋体" w:hAnsi="Times New Roman" w:eastAsia="宋体"/>
      <w:bCs/>
      <w:sz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u w:val="single"/>
    </w:rPr>
  </w:style>
  <w:style w:type="character" w:styleId="22">
    <w:name w:val="annotation reference"/>
    <w:basedOn w:val="20"/>
    <w:semiHidden/>
    <w:unhideWhenUsed/>
    <w:qFormat/>
    <w:uiPriority w:val="99"/>
    <w:rPr>
      <w:sz w:val="21"/>
      <w:szCs w:val="21"/>
    </w:rPr>
  </w:style>
  <w:style w:type="paragraph" w:customStyle="1" w:styleId="23">
    <w:name w:val="Default"/>
    <w:next w:val="6"/>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character" w:customStyle="1" w:styleId="24">
    <w:name w:val="标题 1 字符"/>
    <w:basedOn w:val="20"/>
    <w:link w:val="3"/>
    <w:qFormat/>
    <w:uiPriority w:val="9"/>
    <w:rPr>
      <w:rFonts w:ascii="Times New Roman" w:hAnsi="Times New Roman" w:eastAsia="黑体" w:cs="Arial"/>
      <w:b/>
      <w:bCs/>
      <w:kern w:val="44"/>
      <w:sz w:val="28"/>
      <w:szCs w:val="44"/>
    </w:rPr>
  </w:style>
  <w:style w:type="paragraph" w:customStyle="1" w:styleId="25">
    <w:name w:val="列表段落1"/>
    <w:basedOn w:val="1"/>
    <w:qFormat/>
    <w:uiPriority w:val="34"/>
    <w:pPr>
      <w:ind w:firstLine="420" w:firstLineChars="200"/>
    </w:pPr>
  </w:style>
  <w:style w:type="character" w:customStyle="1" w:styleId="26">
    <w:name w:val="页眉 字符"/>
    <w:basedOn w:val="20"/>
    <w:link w:val="13"/>
    <w:qFormat/>
    <w:uiPriority w:val="99"/>
    <w:rPr>
      <w:sz w:val="18"/>
      <w:szCs w:val="18"/>
    </w:rPr>
  </w:style>
  <w:style w:type="character" w:customStyle="1" w:styleId="27">
    <w:name w:val="页脚 字符"/>
    <w:basedOn w:val="20"/>
    <w:link w:val="12"/>
    <w:qFormat/>
    <w:uiPriority w:val="99"/>
    <w:rPr>
      <w:sz w:val="18"/>
      <w:szCs w:val="18"/>
    </w:rPr>
  </w:style>
  <w:style w:type="character" w:customStyle="1" w:styleId="28">
    <w:name w:val="批注框文本 字符"/>
    <w:basedOn w:val="20"/>
    <w:link w:val="11"/>
    <w:semiHidden/>
    <w:qFormat/>
    <w:uiPriority w:val="99"/>
    <w:rPr>
      <w:rFonts w:asciiTheme="minorHAnsi" w:hAnsiTheme="minorHAnsi" w:eastAsiaTheme="minorEastAsia" w:cstheme="minorBidi"/>
      <w:kern w:val="2"/>
      <w:sz w:val="18"/>
      <w:szCs w:val="18"/>
    </w:rPr>
  </w:style>
  <w:style w:type="paragraph" w:customStyle="1" w:styleId="29">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0">
    <w:name w:val="批注文字 字符"/>
    <w:basedOn w:val="20"/>
    <w:link w:val="5"/>
    <w:semiHidden/>
    <w:qFormat/>
    <w:uiPriority w:val="99"/>
    <w:rPr>
      <w:rFonts w:asciiTheme="minorHAnsi" w:hAnsiTheme="minorHAnsi" w:eastAsiaTheme="minorEastAsia" w:cstheme="minorBidi"/>
      <w:kern w:val="2"/>
      <w:sz w:val="21"/>
      <w:szCs w:val="22"/>
    </w:rPr>
  </w:style>
  <w:style w:type="character" w:customStyle="1" w:styleId="31">
    <w:name w:val="批注主题 字符"/>
    <w:basedOn w:val="30"/>
    <w:link w:val="16"/>
    <w:semiHidden/>
    <w:qFormat/>
    <w:uiPriority w:val="99"/>
    <w:rPr>
      <w:rFonts w:asciiTheme="minorHAnsi" w:hAnsiTheme="minorHAnsi" w:eastAsiaTheme="minorEastAsia" w:cstheme="minorBidi"/>
      <w:b/>
      <w:bCs/>
      <w:kern w:val="2"/>
      <w:sz w:val="21"/>
      <w:szCs w:val="22"/>
    </w:rPr>
  </w:style>
  <w:style w:type="paragraph" w:styleId="32">
    <w:name w:val="List Paragraph"/>
    <w:basedOn w:val="1"/>
    <w:unhideWhenUsed/>
    <w:qFormat/>
    <w:uiPriority w:val="99"/>
    <w:pPr>
      <w:ind w:firstLine="420" w:firstLineChars="200"/>
    </w:pPr>
  </w:style>
  <w:style w:type="character" w:customStyle="1" w:styleId="33">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7E465-64E7-4413-8BDF-E040362141AD}">
  <ds:schemaRefs/>
</ds:datastoreItem>
</file>

<file path=docProps/app.xml><?xml version="1.0" encoding="utf-8"?>
<Properties xmlns="http://schemas.openxmlformats.org/officeDocument/2006/extended-properties" xmlns:vt="http://schemas.openxmlformats.org/officeDocument/2006/docPropsVTypes">
  <Template>Normal</Template>
  <Pages>37</Pages>
  <Words>14103</Words>
  <Characters>14923</Characters>
  <Lines>49</Lines>
  <Paragraphs>13</Paragraphs>
  <TotalTime>1</TotalTime>
  <ScaleCrop>false</ScaleCrop>
  <LinksUpToDate>false</LinksUpToDate>
  <CharactersWithSpaces>15257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2020-02-09T09:30:00Z</cp:lastPrinted>
  <dcterms:modified xsi:type="dcterms:W3CDTF">2024-02-06T09:40:42Z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3CAB700AB92A45EF8565D5C12E9CDCBD_13</vt:lpwstr>
  </property>
</Properties>
</file>